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42C2F" w14:textId="16246B43" w:rsidR="007453CC" w:rsidRPr="0085122B" w:rsidRDefault="007453CC" w:rsidP="0080380A">
      <w:pPr>
        <w:rPr>
          <w:b/>
          <w:bCs/>
        </w:rPr>
      </w:pPr>
      <w:r w:rsidRPr="0085122B">
        <w:rPr>
          <w:b/>
          <w:bCs/>
        </w:rPr>
        <w:t>Zn</w:t>
      </w:r>
      <w:r w:rsidR="001919DD" w:rsidRPr="0085122B">
        <w:rPr>
          <w:b/>
          <w:bCs/>
        </w:rPr>
        <w:t>SO4</w:t>
      </w:r>
    </w:p>
    <w:p w14:paraId="454BB81A" w14:textId="77777777" w:rsidR="006D43AC" w:rsidRPr="0085122B" w:rsidRDefault="006D43AC" w:rsidP="006D43AC">
      <w:pPr>
        <w:spacing w:line="276" w:lineRule="auto"/>
        <w:rPr>
          <w:rFonts w:cstheme="minorHAnsi"/>
          <w:b/>
          <w:bCs/>
        </w:rPr>
      </w:pPr>
      <w:r w:rsidRPr="0085122B">
        <w:rPr>
          <w:rFonts w:cstheme="minorHAnsi"/>
          <w:b/>
          <w:bCs/>
        </w:rPr>
        <w:t>Section 8.1.4</w:t>
      </w:r>
    </w:p>
    <w:p w14:paraId="04E28767" w14:textId="77777777" w:rsidR="006D43AC" w:rsidRPr="0085122B" w:rsidRDefault="006D43AC" w:rsidP="006D43AC">
      <w:pPr>
        <w:spacing w:after="0" w:line="276" w:lineRule="auto"/>
        <w:rPr>
          <w:rFonts w:cstheme="minorHAnsi"/>
        </w:rPr>
      </w:pPr>
      <w:r w:rsidRPr="0085122B">
        <w:rPr>
          <w:rFonts w:cstheme="minorHAnsi"/>
        </w:rPr>
        <w:t>DNELS</w:t>
      </w:r>
    </w:p>
    <w:tbl>
      <w:tblPr>
        <w:tblStyle w:val="Mkatabulky"/>
        <w:tblW w:w="0" w:type="auto"/>
        <w:jc w:val="center"/>
        <w:tblLook w:val="04A0" w:firstRow="1" w:lastRow="0" w:firstColumn="1" w:lastColumn="0" w:noHBand="0" w:noVBand="1"/>
      </w:tblPr>
      <w:tblGrid>
        <w:gridCol w:w="1040"/>
        <w:gridCol w:w="998"/>
        <w:gridCol w:w="996"/>
        <w:gridCol w:w="998"/>
        <w:gridCol w:w="996"/>
        <w:gridCol w:w="998"/>
        <w:gridCol w:w="996"/>
        <w:gridCol w:w="998"/>
        <w:gridCol w:w="996"/>
      </w:tblGrid>
      <w:tr w:rsidR="0085122B" w:rsidRPr="0085122B" w14:paraId="309DE19C" w14:textId="77777777" w:rsidTr="006D43AC">
        <w:trPr>
          <w:jc w:val="center"/>
        </w:trPr>
        <w:tc>
          <w:tcPr>
            <w:tcW w:w="1040" w:type="dxa"/>
            <w:tcBorders>
              <w:top w:val="single" w:sz="4" w:space="0" w:color="auto"/>
              <w:left w:val="single" w:sz="4" w:space="0" w:color="auto"/>
              <w:bottom w:val="single" w:sz="4" w:space="0" w:color="auto"/>
              <w:right w:val="single" w:sz="4" w:space="0" w:color="auto"/>
            </w:tcBorders>
          </w:tcPr>
          <w:p w14:paraId="0171389D" w14:textId="77777777" w:rsidR="006D43AC" w:rsidRPr="0085122B" w:rsidRDefault="006D43AC">
            <w:pPr>
              <w:spacing w:line="276" w:lineRule="auto"/>
              <w:jc w:val="center"/>
              <w:rPr>
                <w:rFonts w:cstheme="minorHAnsi"/>
                <w:sz w:val="20"/>
                <w:szCs w:val="20"/>
              </w:rPr>
            </w:pPr>
          </w:p>
        </w:tc>
        <w:tc>
          <w:tcPr>
            <w:tcW w:w="3988" w:type="dxa"/>
            <w:gridSpan w:val="4"/>
            <w:tcBorders>
              <w:top w:val="single" w:sz="4" w:space="0" w:color="auto"/>
              <w:left w:val="single" w:sz="4" w:space="0" w:color="auto"/>
              <w:bottom w:val="single" w:sz="4" w:space="0" w:color="auto"/>
              <w:right w:val="single" w:sz="4" w:space="0" w:color="auto"/>
            </w:tcBorders>
            <w:hideMark/>
          </w:tcPr>
          <w:p w14:paraId="6F95895E" w14:textId="77777777" w:rsidR="006D43AC" w:rsidRPr="0085122B" w:rsidRDefault="006D43AC">
            <w:pPr>
              <w:spacing w:line="276" w:lineRule="auto"/>
              <w:jc w:val="center"/>
              <w:rPr>
                <w:rFonts w:cstheme="minorHAnsi"/>
                <w:sz w:val="20"/>
                <w:szCs w:val="20"/>
              </w:rPr>
            </w:pPr>
            <w:r w:rsidRPr="0085122B">
              <w:rPr>
                <w:rFonts w:cstheme="minorHAnsi"/>
                <w:sz w:val="20"/>
                <w:szCs w:val="20"/>
              </w:rPr>
              <w:t>Workers</w:t>
            </w:r>
          </w:p>
        </w:tc>
        <w:tc>
          <w:tcPr>
            <w:tcW w:w="3988" w:type="dxa"/>
            <w:gridSpan w:val="4"/>
            <w:tcBorders>
              <w:top w:val="single" w:sz="4" w:space="0" w:color="auto"/>
              <w:left w:val="single" w:sz="4" w:space="0" w:color="auto"/>
              <w:bottom w:val="single" w:sz="4" w:space="0" w:color="auto"/>
              <w:right w:val="single" w:sz="4" w:space="0" w:color="auto"/>
            </w:tcBorders>
            <w:hideMark/>
          </w:tcPr>
          <w:p w14:paraId="56C3CD0A" w14:textId="77777777" w:rsidR="006D43AC" w:rsidRPr="0085122B" w:rsidRDefault="006D43AC">
            <w:pPr>
              <w:spacing w:line="276" w:lineRule="auto"/>
              <w:jc w:val="center"/>
              <w:rPr>
                <w:rFonts w:cstheme="minorHAnsi"/>
                <w:sz w:val="20"/>
                <w:szCs w:val="20"/>
              </w:rPr>
            </w:pPr>
            <w:r w:rsidRPr="0085122B">
              <w:rPr>
                <w:rFonts w:cstheme="minorHAnsi"/>
                <w:sz w:val="20"/>
                <w:szCs w:val="20"/>
              </w:rPr>
              <w:t>General population</w:t>
            </w:r>
          </w:p>
        </w:tc>
      </w:tr>
      <w:tr w:rsidR="0085122B" w:rsidRPr="0085122B" w14:paraId="04EEE3C2" w14:textId="77777777" w:rsidTr="006D43AC">
        <w:trPr>
          <w:jc w:val="center"/>
        </w:trPr>
        <w:tc>
          <w:tcPr>
            <w:tcW w:w="1040" w:type="dxa"/>
            <w:tcBorders>
              <w:top w:val="single" w:sz="4" w:space="0" w:color="auto"/>
              <w:left w:val="single" w:sz="4" w:space="0" w:color="auto"/>
              <w:bottom w:val="single" w:sz="4" w:space="0" w:color="auto"/>
              <w:right w:val="single" w:sz="4" w:space="0" w:color="auto"/>
            </w:tcBorders>
            <w:hideMark/>
          </w:tcPr>
          <w:p w14:paraId="33E4E382" w14:textId="77777777" w:rsidR="006D43AC" w:rsidRPr="0085122B" w:rsidRDefault="006D43AC">
            <w:pPr>
              <w:spacing w:line="276" w:lineRule="auto"/>
              <w:jc w:val="center"/>
              <w:rPr>
                <w:rFonts w:cstheme="minorHAnsi"/>
                <w:sz w:val="20"/>
                <w:szCs w:val="20"/>
              </w:rPr>
            </w:pPr>
            <w:r w:rsidRPr="0085122B">
              <w:rPr>
                <w:rFonts w:cstheme="minorHAnsi"/>
                <w:sz w:val="20"/>
                <w:szCs w:val="20"/>
              </w:rPr>
              <w:t>Route of exposure</w:t>
            </w:r>
          </w:p>
        </w:tc>
        <w:tc>
          <w:tcPr>
            <w:tcW w:w="998" w:type="dxa"/>
            <w:tcBorders>
              <w:top w:val="single" w:sz="4" w:space="0" w:color="auto"/>
              <w:left w:val="single" w:sz="4" w:space="0" w:color="auto"/>
              <w:bottom w:val="single" w:sz="4" w:space="0" w:color="auto"/>
              <w:right w:val="single" w:sz="4" w:space="0" w:color="auto"/>
            </w:tcBorders>
            <w:hideMark/>
          </w:tcPr>
          <w:p w14:paraId="6EF8B0CA" w14:textId="77777777" w:rsidR="006D43AC" w:rsidRPr="0085122B" w:rsidRDefault="006D43AC">
            <w:pPr>
              <w:spacing w:line="276" w:lineRule="auto"/>
              <w:jc w:val="center"/>
              <w:rPr>
                <w:rFonts w:cstheme="minorHAnsi"/>
                <w:sz w:val="20"/>
                <w:szCs w:val="20"/>
              </w:rPr>
            </w:pPr>
            <w:r w:rsidRPr="0085122B">
              <w:rPr>
                <w:rFonts w:cstheme="minorHAnsi"/>
                <w:sz w:val="20"/>
                <w:szCs w:val="20"/>
              </w:rPr>
              <w:t>Acute effects local</w:t>
            </w:r>
          </w:p>
        </w:tc>
        <w:tc>
          <w:tcPr>
            <w:tcW w:w="996" w:type="dxa"/>
            <w:tcBorders>
              <w:top w:val="single" w:sz="4" w:space="0" w:color="auto"/>
              <w:left w:val="single" w:sz="4" w:space="0" w:color="auto"/>
              <w:bottom w:val="single" w:sz="4" w:space="0" w:color="auto"/>
              <w:right w:val="single" w:sz="4" w:space="0" w:color="auto"/>
            </w:tcBorders>
            <w:hideMark/>
          </w:tcPr>
          <w:p w14:paraId="55A328EC" w14:textId="77777777" w:rsidR="006D43AC" w:rsidRPr="0085122B" w:rsidRDefault="006D43AC">
            <w:pPr>
              <w:spacing w:line="276" w:lineRule="auto"/>
              <w:jc w:val="center"/>
              <w:rPr>
                <w:rFonts w:cstheme="minorHAnsi"/>
                <w:sz w:val="20"/>
                <w:szCs w:val="20"/>
              </w:rPr>
            </w:pPr>
            <w:r w:rsidRPr="0085122B">
              <w:rPr>
                <w:rFonts w:cstheme="minorHAnsi"/>
                <w:sz w:val="20"/>
                <w:szCs w:val="20"/>
              </w:rPr>
              <w:t>Acute effects systemic</w:t>
            </w:r>
          </w:p>
        </w:tc>
        <w:tc>
          <w:tcPr>
            <w:tcW w:w="998" w:type="dxa"/>
            <w:tcBorders>
              <w:top w:val="single" w:sz="4" w:space="0" w:color="auto"/>
              <w:left w:val="single" w:sz="4" w:space="0" w:color="auto"/>
              <w:bottom w:val="single" w:sz="4" w:space="0" w:color="auto"/>
              <w:right w:val="single" w:sz="4" w:space="0" w:color="auto"/>
            </w:tcBorders>
            <w:hideMark/>
          </w:tcPr>
          <w:p w14:paraId="6F65C32B" w14:textId="77777777" w:rsidR="006D43AC" w:rsidRPr="0085122B" w:rsidRDefault="006D43AC">
            <w:pPr>
              <w:spacing w:line="276" w:lineRule="auto"/>
              <w:jc w:val="center"/>
              <w:rPr>
                <w:rFonts w:cstheme="minorHAnsi"/>
                <w:sz w:val="20"/>
                <w:szCs w:val="20"/>
              </w:rPr>
            </w:pPr>
            <w:r w:rsidRPr="0085122B">
              <w:rPr>
                <w:rFonts w:cstheme="minorHAnsi"/>
                <w:sz w:val="20"/>
                <w:szCs w:val="20"/>
              </w:rPr>
              <w:t>Chronic effects local</w:t>
            </w:r>
          </w:p>
        </w:tc>
        <w:tc>
          <w:tcPr>
            <w:tcW w:w="996" w:type="dxa"/>
            <w:tcBorders>
              <w:top w:val="single" w:sz="4" w:space="0" w:color="auto"/>
              <w:left w:val="single" w:sz="4" w:space="0" w:color="auto"/>
              <w:bottom w:val="single" w:sz="4" w:space="0" w:color="auto"/>
              <w:right w:val="single" w:sz="4" w:space="0" w:color="auto"/>
            </w:tcBorders>
            <w:hideMark/>
          </w:tcPr>
          <w:p w14:paraId="2DFD35DE" w14:textId="77777777" w:rsidR="006D43AC" w:rsidRPr="0085122B" w:rsidRDefault="006D43AC">
            <w:pPr>
              <w:spacing w:line="276" w:lineRule="auto"/>
              <w:jc w:val="center"/>
              <w:rPr>
                <w:rFonts w:cstheme="minorHAnsi"/>
                <w:sz w:val="20"/>
                <w:szCs w:val="20"/>
              </w:rPr>
            </w:pPr>
            <w:r w:rsidRPr="0085122B">
              <w:rPr>
                <w:rFonts w:cstheme="minorHAnsi"/>
                <w:sz w:val="20"/>
                <w:szCs w:val="20"/>
              </w:rPr>
              <w:t>Chronic effects systemic</w:t>
            </w:r>
          </w:p>
        </w:tc>
        <w:tc>
          <w:tcPr>
            <w:tcW w:w="998" w:type="dxa"/>
            <w:tcBorders>
              <w:top w:val="single" w:sz="4" w:space="0" w:color="auto"/>
              <w:left w:val="single" w:sz="4" w:space="0" w:color="auto"/>
              <w:bottom w:val="single" w:sz="4" w:space="0" w:color="auto"/>
              <w:right w:val="single" w:sz="4" w:space="0" w:color="auto"/>
            </w:tcBorders>
            <w:hideMark/>
          </w:tcPr>
          <w:p w14:paraId="66085931" w14:textId="77777777" w:rsidR="006D43AC" w:rsidRPr="0085122B" w:rsidRDefault="006D43AC">
            <w:pPr>
              <w:spacing w:line="276" w:lineRule="auto"/>
              <w:jc w:val="center"/>
              <w:rPr>
                <w:rFonts w:cstheme="minorHAnsi"/>
                <w:sz w:val="20"/>
                <w:szCs w:val="20"/>
              </w:rPr>
            </w:pPr>
            <w:r w:rsidRPr="0085122B">
              <w:rPr>
                <w:rFonts w:cstheme="minorHAnsi"/>
                <w:sz w:val="20"/>
                <w:szCs w:val="20"/>
              </w:rPr>
              <w:t>Acute effects local</w:t>
            </w:r>
          </w:p>
        </w:tc>
        <w:tc>
          <w:tcPr>
            <w:tcW w:w="996" w:type="dxa"/>
            <w:tcBorders>
              <w:top w:val="single" w:sz="4" w:space="0" w:color="auto"/>
              <w:left w:val="single" w:sz="4" w:space="0" w:color="auto"/>
              <w:bottom w:val="single" w:sz="4" w:space="0" w:color="auto"/>
              <w:right w:val="single" w:sz="4" w:space="0" w:color="auto"/>
            </w:tcBorders>
            <w:hideMark/>
          </w:tcPr>
          <w:p w14:paraId="69529AF1" w14:textId="77777777" w:rsidR="006D43AC" w:rsidRPr="0085122B" w:rsidRDefault="006D43AC">
            <w:pPr>
              <w:spacing w:line="276" w:lineRule="auto"/>
              <w:jc w:val="center"/>
              <w:rPr>
                <w:rFonts w:cstheme="minorHAnsi"/>
                <w:sz w:val="20"/>
                <w:szCs w:val="20"/>
              </w:rPr>
            </w:pPr>
            <w:r w:rsidRPr="0085122B">
              <w:rPr>
                <w:rFonts w:cstheme="minorHAnsi"/>
                <w:sz w:val="20"/>
                <w:szCs w:val="20"/>
              </w:rPr>
              <w:t>Acute effects systemic</w:t>
            </w:r>
          </w:p>
        </w:tc>
        <w:tc>
          <w:tcPr>
            <w:tcW w:w="998" w:type="dxa"/>
            <w:tcBorders>
              <w:top w:val="single" w:sz="4" w:space="0" w:color="auto"/>
              <w:left w:val="single" w:sz="4" w:space="0" w:color="auto"/>
              <w:bottom w:val="single" w:sz="4" w:space="0" w:color="auto"/>
              <w:right w:val="single" w:sz="4" w:space="0" w:color="auto"/>
            </w:tcBorders>
            <w:hideMark/>
          </w:tcPr>
          <w:p w14:paraId="210F1034" w14:textId="77777777" w:rsidR="006D43AC" w:rsidRPr="0085122B" w:rsidRDefault="006D43AC">
            <w:pPr>
              <w:spacing w:line="276" w:lineRule="auto"/>
              <w:jc w:val="center"/>
              <w:rPr>
                <w:rFonts w:cstheme="minorHAnsi"/>
                <w:sz w:val="20"/>
                <w:szCs w:val="20"/>
              </w:rPr>
            </w:pPr>
            <w:r w:rsidRPr="0085122B">
              <w:rPr>
                <w:rFonts w:cstheme="minorHAnsi"/>
                <w:sz w:val="20"/>
                <w:szCs w:val="20"/>
              </w:rPr>
              <w:t>Chronic effects local</w:t>
            </w:r>
          </w:p>
        </w:tc>
        <w:tc>
          <w:tcPr>
            <w:tcW w:w="996" w:type="dxa"/>
            <w:tcBorders>
              <w:top w:val="single" w:sz="4" w:space="0" w:color="auto"/>
              <w:left w:val="single" w:sz="4" w:space="0" w:color="auto"/>
              <w:bottom w:val="single" w:sz="4" w:space="0" w:color="auto"/>
              <w:right w:val="single" w:sz="4" w:space="0" w:color="auto"/>
            </w:tcBorders>
            <w:hideMark/>
          </w:tcPr>
          <w:p w14:paraId="59ED7002" w14:textId="77777777" w:rsidR="006D43AC" w:rsidRPr="0085122B" w:rsidRDefault="006D43AC">
            <w:pPr>
              <w:spacing w:line="276" w:lineRule="auto"/>
              <w:jc w:val="center"/>
              <w:rPr>
                <w:rFonts w:cstheme="minorHAnsi"/>
                <w:sz w:val="20"/>
                <w:szCs w:val="20"/>
              </w:rPr>
            </w:pPr>
            <w:r w:rsidRPr="0085122B">
              <w:rPr>
                <w:rFonts w:cstheme="minorHAnsi"/>
                <w:sz w:val="20"/>
                <w:szCs w:val="20"/>
              </w:rPr>
              <w:t>Chronic effects systemic</w:t>
            </w:r>
          </w:p>
        </w:tc>
      </w:tr>
      <w:tr w:rsidR="0085122B" w:rsidRPr="0085122B" w14:paraId="79952672" w14:textId="77777777" w:rsidTr="006D43AC">
        <w:trPr>
          <w:jc w:val="center"/>
        </w:trPr>
        <w:tc>
          <w:tcPr>
            <w:tcW w:w="1040" w:type="dxa"/>
            <w:tcBorders>
              <w:top w:val="single" w:sz="4" w:space="0" w:color="auto"/>
              <w:left w:val="single" w:sz="4" w:space="0" w:color="auto"/>
              <w:bottom w:val="single" w:sz="4" w:space="0" w:color="auto"/>
              <w:right w:val="single" w:sz="4" w:space="0" w:color="auto"/>
            </w:tcBorders>
          </w:tcPr>
          <w:p w14:paraId="5BA43396" w14:textId="77777777" w:rsidR="006D43AC" w:rsidRPr="0085122B" w:rsidRDefault="006D43AC">
            <w:pPr>
              <w:spacing w:line="276" w:lineRule="auto"/>
              <w:jc w:val="center"/>
              <w:rPr>
                <w:rFonts w:cstheme="minorHAnsi"/>
                <w:sz w:val="20"/>
                <w:szCs w:val="20"/>
              </w:rPr>
            </w:pPr>
          </w:p>
          <w:p w14:paraId="455BDE7A" w14:textId="77777777" w:rsidR="006D43AC" w:rsidRPr="0085122B" w:rsidRDefault="006D43AC">
            <w:pPr>
              <w:spacing w:line="276" w:lineRule="auto"/>
              <w:jc w:val="center"/>
              <w:rPr>
                <w:rFonts w:cstheme="minorHAnsi"/>
                <w:sz w:val="20"/>
                <w:szCs w:val="20"/>
              </w:rPr>
            </w:pPr>
            <w:r w:rsidRPr="0085122B">
              <w:rPr>
                <w:rFonts w:cstheme="minorHAnsi"/>
                <w:sz w:val="20"/>
                <w:szCs w:val="20"/>
              </w:rPr>
              <w:t>Oral</w:t>
            </w:r>
          </w:p>
        </w:tc>
        <w:tc>
          <w:tcPr>
            <w:tcW w:w="4986" w:type="dxa"/>
            <w:gridSpan w:val="5"/>
            <w:tcBorders>
              <w:top w:val="single" w:sz="4" w:space="0" w:color="auto"/>
              <w:left w:val="single" w:sz="4" w:space="0" w:color="auto"/>
              <w:bottom w:val="single" w:sz="4" w:space="0" w:color="auto"/>
              <w:right w:val="single" w:sz="4" w:space="0" w:color="auto"/>
            </w:tcBorders>
          </w:tcPr>
          <w:p w14:paraId="7072D81E" w14:textId="77777777" w:rsidR="006D43AC" w:rsidRPr="0085122B" w:rsidRDefault="006D43AC">
            <w:pPr>
              <w:spacing w:line="276" w:lineRule="auto"/>
              <w:jc w:val="center"/>
              <w:rPr>
                <w:rFonts w:cstheme="minorHAnsi"/>
                <w:sz w:val="20"/>
                <w:szCs w:val="20"/>
              </w:rPr>
            </w:pPr>
          </w:p>
          <w:p w14:paraId="00D9E306" w14:textId="77777777" w:rsidR="006D43AC" w:rsidRPr="0085122B" w:rsidRDefault="006D43AC">
            <w:pPr>
              <w:spacing w:line="276" w:lineRule="auto"/>
              <w:jc w:val="center"/>
              <w:rPr>
                <w:rFonts w:cstheme="minorHAnsi"/>
                <w:sz w:val="20"/>
                <w:szCs w:val="20"/>
              </w:rPr>
            </w:pPr>
            <w:r w:rsidRPr="0085122B">
              <w:rPr>
                <w:rFonts w:cstheme="minorHAnsi"/>
                <w:sz w:val="20"/>
                <w:szCs w:val="20"/>
              </w:rPr>
              <w:t>Not required</w:t>
            </w:r>
          </w:p>
        </w:tc>
        <w:tc>
          <w:tcPr>
            <w:tcW w:w="996" w:type="dxa"/>
            <w:tcBorders>
              <w:top w:val="single" w:sz="4" w:space="0" w:color="auto"/>
              <w:left w:val="single" w:sz="4" w:space="0" w:color="auto"/>
              <w:bottom w:val="single" w:sz="4" w:space="0" w:color="auto"/>
              <w:right w:val="single" w:sz="4" w:space="0" w:color="auto"/>
            </w:tcBorders>
            <w:hideMark/>
          </w:tcPr>
          <w:p w14:paraId="41E714DA"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8" w:type="dxa"/>
            <w:tcBorders>
              <w:top w:val="single" w:sz="4" w:space="0" w:color="auto"/>
              <w:left w:val="single" w:sz="4" w:space="0" w:color="auto"/>
              <w:bottom w:val="single" w:sz="4" w:space="0" w:color="auto"/>
              <w:right w:val="single" w:sz="4" w:space="0" w:color="auto"/>
            </w:tcBorders>
            <w:hideMark/>
          </w:tcPr>
          <w:p w14:paraId="5917C776" w14:textId="77777777" w:rsidR="006D43AC" w:rsidRPr="0085122B" w:rsidRDefault="006D43AC">
            <w:pPr>
              <w:spacing w:line="276" w:lineRule="auto"/>
              <w:jc w:val="center"/>
              <w:rPr>
                <w:rFonts w:cstheme="minorHAnsi"/>
                <w:sz w:val="20"/>
                <w:szCs w:val="20"/>
              </w:rPr>
            </w:pPr>
            <w:r w:rsidRPr="0085122B">
              <w:rPr>
                <w:rFonts w:cstheme="minorHAnsi"/>
                <w:sz w:val="20"/>
                <w:szCs w:val="20"/>
              </w:rPr>
              <w:t>Not required</w:t>
            </w:r>
          </w:p>
        </w:tc>
        <w:tc>
          <w:tcPr>
            <w:tcW w:w="996" w:type="dxa"/>
            <w:tcBorders>
              <w:top w:val="single" w:sz="4" w:space="0" w:color="auto"/>
              <w:left w:val="single" w:sz="4" w:space="0" w:color="auto"/>
              <w:bottom w:val="single" w:sz="4" w:space="0" w:color="auto"/>
              <w:right w:val="single" w:sz="4" w:space="0" w:color="auto"/>
            </w:tcBorders>
            <w:hideMark/>
          </w:tcPr>
          <w:p w14:paraId="004BDE20"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r>
      <w:tr w:rsidR="0085122B" w:rsidRPr="0085122B" w14:paraId="456ECAB7" w14:textId="77777777" w:rsidTr="006D43AC">
        <w:trPr>
          <w:jc w:val="center"/>
        </w:trPr>
        <w:tc>
          <w:tcPr>
            <w:tcW w:w="1040" w:type="dxa"/>
            <w:tcBorders>
              <w:top w:val="single" w:sz="4" w:space="0" w:color="auto"/>
              <w:left w:val="single" w:sz="4" w:space="0" w:color="auto"/>
              <w:bottom w:val="single" w:sz="4" w:space="0" w:color="auto"/>
              <w:right w:val="single" w:sz="4" w:space="0" w:color="auto"/>
            </w:tcBorders>
          </w:tcPr>
          <w:p w14:paraId="69F0E5CA" w14:textId="77777777" w:rsidR="006D43AC" w:rsidRPr="0085122B" w:rsidRDefault="006D43AC">
            <w:pPr>
              <w:spacing w:line="276" w:lineRule="auto"/>
              <w:jc w:val="center"/>
              <w:rPr>
                <w:rFonts w:cstheme="minorHAnsi"/>
                <w:sz w:val="20"/>
                <w:szCs w:val="20"/>
              </w:rPr>
            </w:pPr>
          </w:p>
          <w:p w14:paraId="59AC60B4" w14:textId="77777777" w:rsidR="006D43AC" w:rsidRPr="0085122B" w:rsidRDefault="006D43AC">
            <w:pPr>
              <w:spacing w:line="276" w:lineRule="auto"/>
              <w:jc w:val="center"/>
              <w:rPr>
                <w:rFonts w:cstheme="minorHAnsi"/>
                <w:sz w:val="20"/>
                <w:szCs w:val="20"/>
              </w:rPr>
            </w:pPr>
          </w:p>
          <w:p w14:paraId="4506CFED" w14:textId="77777777" w:rsidR="006D43AC" w:rsidRPr="0085122B" w:rsidRDefault="006D43AC">
            <w:pPr>
              <w:spacing w:line="276" w:lineRule="auto"/>
              <w:jc w:val="center"/>
              <w:rPr>
                <w:rFonts w:cstheme="minorHAnsi"/>
                <w:sz w:val="20"/>
                <w:szCs w:val="20"/>
              </w:rPr>
            </w:pPr>
            <w:r w:rsidRPr="0085122B">
              <w:rPr>
                <w:rFonts w:cstheme="minorHAnsi"/>
                <w:sz w:val="20"/>
                <w:szCs w:val="20"/>
              </w:rPr>
              <w:t>Inhalation</w:t>
            </w:r>
          </w:p>
        </w:tc>
        <w:tc>
          <w:tcPr>
            <w:tcW w:w="998" w:type="dxa"/>
            <w:tcBorders>
              <w:top w:val="single" w:sz="4" w:space="0" w:color="auto"/>
              <w:left w:val="single" w:sz="4" w:space="0" w:color="auto"/>
              <w:bottom w:val="single" w:sz="4" w:space="0" w:color="auto"/>
              <w:right w:val="single" w:sz="4" w:space="0" w:color="auto"/>
            </w:tcBorders>
            <w:hideMark/>
          </w:tcPr>
          <w:p w14:paraId="31639E93"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55C74152"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8" w:type="dxa"/>
            <w:tcBorders>
              <w:top w:val="single" w:sz="4" w:space="0" w:color="auto"/>
              <w:left w:val="single" w:sz="4" w:space="0" w:color="auto"/>
              <w:bottom w:val="single" w:sz="4" w:space="0" w:color="auto"/>
              <w:right w:val="single" w:sz="4" w:space="0" w:color="auto"/>
            </w:tcBorders>
            <w:hideMark/>
          </w:tcPr>
          <w:p w14:paraId="5821D169"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246B9531"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8" w:type="dxa"/>
            <w:tcBorders>
              <w:top w:val="single" w:sz="4" w:space="0" w:color="auto"/>
              <w:left w:val="single" w:sz="4" w:space="0" w:color="auto"/>
              <w:bottom w:val="single" w:sz="4" w:space="0" w:color="auto"/>
              <w:right w:val="single" w:sz="4" w:space="0" w:color="auto"/>
            </w:tcBorders>
            <w:hideMark/>
          </w:tcPr>
          <w:p w14:paraId="4E474FCB"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20CCF42B"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8" w:type="dxa"/>
            <w:tcBorders>
              <w:top w:val="single" w:sz="4" w:space="0" w:color="auto"/>
              <w:left w:val="single" w:sz="4" w:space="0" w:color="auto"/>
              <w:bottom w:val="single" w:sz="4" w:space="0" w:color="auto"/>
              <w:right w:val="single" w:sz="4" w:space="0" w:color="auto"/>
            </w:tcBorders>
            <w:hideMark/>
          </w:tcPr>
          <w:p w14:paraId="71BFCBCB"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65FA1119"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r>
      <w:tr w:rsidR="0085122B" w:rsidRPr="0085122B" w14:paraId="167DE327" w14:textId="77777777" w:rsidTr="006D43AC">
        <w:trPr>
          <w:jc w:val="center"/>
        </w:trPr>
        <w:tc>
          <w:tcPr>
            <w:tcW w:w="1040" w:type="dxa"/>
            <w:tcBorders>
              <w:top w:val="single" w:sz="4" w:space="0" w:color="auto"/>
              <w:left w:val="single" w:sz="4" w:space="0" w:color="auto"/>
              <w:bottom w:val="single" w:sz="4" w:space="0" w:color="auto"/>
              <w:right w:val="single" w:sz="4" w:space="0" w:color="auto"/>
            </w:tcBorders>
          </w:tcPr>
          <w:p w14:paraId="4663B821" w14:textId="77777777" w:rsidR="006D43AC" w:rsidRPr="0085122B" w:rsidRDefault="006D43AC">
            <w:pPr>
              <w:spacing w:line="276" w:lineRule="auto"/>
              <w:jc w:val="center"/>
              <w:rPr>
                <w:rFonts w:cstheme="minorHAnsi"/>
                <w:sz w:val="20"/>
                <w:szCs w:val="20"/>
              </w:rPr>
            </w:pPr>
          </w:p>
          <w:p w14:paraId="7A9BA82B" w14:textId="77777777" w:rsidR="006D43AC" w:rsidRPr="0085122B" w:rsidRDefault="006D43AC">
            <w:pPr>
              <w:spacing w:line="276" w:lineRule="auto"/>
              <w:jc w:val="center"/>
              <w:rPr>
                <w:rFonts w:cstheme="minorHAnsi"/>
                <w:sz w:val="20"/>
                <w:szCs w:val="20"/>
              </w:rPr>
            </w:pPr>
          </w:p>
          <w:p w14:paraId="408F8630" w14:textId="77777777" w:rsidR="006D43AC" w:rsidRPr="0085122B" w:rsidRDefault="006D43AC">
            <w:pPr>
              <w:spacing w:line="276" w:lineRule="auto"/>
              <w:jc w:val="center"/>
              <w:rPr>
                <w:rFonts w:cstheme="minorHAnsi"/>
                <w:sz w:val="20"/>
                <w:szCs w:val="20"/>
              </w:rPr>
            </w:pPr>
            <w:r w:rsidRPr="0085122B">
              <w:rPr>
                <w:rFonts w:cstheme="minorHAnsi"/>
                <w:sz w:val="20"/>
                <w:szCs w:val="20"/>
              </w:rPr>
              <w:t>Dermal</w:t>
            </w:r>
          </w:p>
        </w:tc>
        <w:tc>
          <w:tcPr>
            <w:tcW w:w="998" w:type="dxa"/>
            <w:tcBorders>
              <w:top w:val="single" w:sz="4" w:space="0" w:color="auto"/>
              <w:left w:val="single" w:sz="4" w:space="0" w:color="auto"/>
              <w:bottom w:val="single" w:sz="4" w:space="0" w:color="auto"/>
              <w:right w:val="single" w:sz="4" w:space="0" w:color="auto"/>
            </w:tcBorders>
            <w:hideMark/>
          </w:tcPr>
          <w:p w14:paraId="5D1BAFFC"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0A3B3A81"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8" w:type="dxa"/>
            <w:tcBorders>
              <w:top w:val="single" w:sz="4" w:space="0" w:color="auto"/>
              <w:left w:val="single" w:sz="4" w:space="0" w:color="auto"/>
              <w:bottom w:val="single" w:sz="4" w:space="0" w:color="auto"/>
              <w:right w:val="single" w:sz="4" w:space="0" w:color="auto"/>
            </w:tcBorders>
            <w:hideMark/>
          </w:tcPr>
          <w:p w14:paraId="1D40262E"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410578D8"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8" w:type="dxa"/>
            <w:tcBorders>
              <w:top w:val="single" w:sz="4" w:space="0" w:color="auto"/>
              <w:left w:val="single" w:sz="4" w:space="0" w:color="auto"/>
              <w:bottom w:val="single" w:sz="4" w:space="0" w:color="auto"/>
              <w:right w:val="single" w:sz="4" w:space="0" w:color="auto"/>
            </w:tcBorders>
            <w:hideMark/>
          </w:tcPr>
          <w:p w14:paraId="09F9D0E9"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4FD03756"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8" w:type="dxa"/>
            <w:tcBorders>
              <w:top w:val="single" w:sz="4" w:space="0" w:color="auto"/>
              <w:left w:val="single" w:sz="4" w:space="0" w:color="auto"/>
              <w:bottom w:val="single" w:sz="4" w:space="0" w:color="auto"/>
              <w:right w:val="single" w:sz="4" w:space="0" w:color="auto"/>
            </w:tcBorders>
            <w:hideMark/>
          </w:tcPr>
          <w:p w14:paraId="01E7BD08"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c>
          <w:tcPr>
            <w:tcW w:w="996" w:type="dxa"/>
            <w:tcBorders>
              <w:top w:val="single" w:sz="4" w:space="0" w:color="auto"/>
              <w:left w:val="single" w:sz="4" w:space="0" w:color="auto"/>
              <w:bottom w:val="single" w:sz="4" w:space="0" w:color="auto"/>
              <w:right w:val="single" w:sz="4" w:space="0" w:color="auto"/>
            </w:tcBorders>
            <w:hideMark/>
          </w:tcPr>
          <w:p w14:paraId="324B86C4" w14:textId="77777777" w:rsidR="006D43AC" w:rsidRPr="0085122B" w:rsidRDefault="006D43AC">
            <w:pPr>
              <w:spacing w:line="276" w:lineRule="auto"/>
              <w:jc w:val="center"/>
              <w:rPr>
                <w:rFonts w:cstheme="minorHAnsi"/>
                <w:sz w:val="20"/>
                <w:szCs w:val="20"/>
              </w:rPr>
            </w:pPr>
            <w:r w:rsidRPr="0085122B">
              <w:rPr>
                <w:rFonts w:cstheme="minorHAnsi"/>
                <w:sz w:val="20"/>
                <w:szCs w:val="20"/>
              </w:rPr>
              <w:t>No hazard identified</w:t>
            </w:r>
          </w:p>
        </w:tc>
      </w:tr>
      <w:tr w:rsidR="006D43AC" w:rsidRPr="0085122B" w14:paraId="1F420A40" w14:textId="77777777" w:rsidTr="008F5F3E">
        <w:trPr>
          <w:jc w:val="center"/>
        </w:trPr>
        <w:tc>
          <w:tcPr>
            <w:tcW w:w="1040" w:type="dxa"/>
            <w:tcBorders>
              <w:top w:val="single" w:sz="4" w:space="0" w:color="auto"/>
              <w:left w:val="single" w:sz="4" w:space="0" w:color="auto"/>
              <w:bottom w:val="single" w:sz="4" w:space="0" w:color="auto"/>
              <w:right w:val="single" w:sz="4" w:space="0" w:color="auto"/>
            </w:tcBorders>
          </w:tcPr>
          <w:p w14:paraId="637AE1DD" w14:textId="31ABEF88" w:rsidR="006D43AC" w:rsidRPr="0085122B" w:rsidRDefault="006D43AC">
            <w:pPr>
              <w:spacing w:line="276" w:lineRule="auto"/>
              <w:jc w:val="center"/>
              <w:rPr>
                <w:rFonts w:cstheme="minorHAnsi"/>
                <w:sz w:val="20"/>
                <w:szCs w:val="20"/>
              </w:rPr>
            </w:pPr>
            <w:bookmarkStart w:id="0" w:name="_Hlk122010337"/>
            <w:r w:rsidRPr="0085122B">
              <w:rPr>
                <w:rFonts w:cstheme="minorHAnsi"/>
                <w:sz w:val="20"/>
                <w:szCs w:val="20"/>
              </w:rPr>
              <w:t xml:space="preserve">Eyes </w:t>
            </w:r>
          </w:p>
        </w:tc>
        <w:tc>
          <w:tcPr>
            <w:tcW w:w="3988" w:type="dxa"/>
            <w:gridSpan w:val="4"/>
            <w:tcBorders>
              <w:top w:val="single" w:sz="4" w:space="0" w:color="auto"/>
              <w:left w:val="single" w:sz="4" w:space="0" w:color="auto"/>
              <w:bottom w:val="single" w:sz="4" w:space="0" w:color="auto"/>
              <w:right w:val="single" w:sz="4" w:space="0" w:color="auto"/>
            </w:tcBorders>
          </w:tcPr>
          <w:p w14:paraId="44E0C7F4" w14:textId="0385737B" w:rsidR="006D43AC" w:rsidRPr="0085122B" w:rsidRDefault="006D43AC">
            <w:pPr>
              <w:spacing w:line="276" w:lineRule="auto"/>
              <w:jc w:val="center"/>
              <w:rPr>
                <w:rFonts w:cstheme="minorHAnsi"/>
                <w:sz w:val="20"/>
                <w:szCs w:val="20"/>
              </w:rPr>
            </w:pPr>
            <w:r w:rsidRPr="0085122B">
              <w:rPr>
                <w:rFonts w:cstheme="minorHAnsi"/>
                <w:sz w:val="20"/>
                <w:szCs w:val="20"/>
              </w:rPr>
              <w:t xml:space="preserve">Local effects: </w:t>
            </w:r>
            <w:proofErr w:type="gramStart"/>
            <w:r w:rsidRPr="0085122B">
              <w:rPr>
                <w:rFonts w:cstheme="minorHAnsi"/>
                <w:sz w:val="20"/>
                <w:szCs w:val="20"/>
              </w:rPr>
              <w:t>Medium</w:t>
            </w:r>
            <w:proofErr w:type="gramEnd"/>
            <w:r w:rsidRPr="0085122B">
              <w:rPr>
                <w:rFonts w:cstheme="minorHAnsi"/>
                <w:sz w:val="20"/>
                <w:szCs w:val="20"/>
              </w:rPr>
              <w:t xml:space="preserve"> hazard (no threshold derived</w:t>
            </w:r>
          </w:p>
        </w:tc>
        <w:tc>
          <w:tcPr>
            <w:tcW w:w="3988" w:type="dxa"/>
            <w:gridSpan w:val="4"/>
            <w:tcBorders>
              <w:top w:val="single" w:sz="4" w:space="0" w:color="auto"/>
              <w:left w:val="single" w:sz="4" w:space="0" w:color="auto"/>
              <w:bottom w:val="single" w:sz="4" w:space="0" w:color="auto"/>
              <w:right w:val="single" w:sz="4" w:space="0" w:color="auto"/>
            </w:tcBorders>
          </w:tcPr>
          <w:p w14:paraId="711DCCAD" w14:textId="6DFD6A1A" w:rsidR="006D43AC" w:rsidRPr="0085122B" w:rsidRDefault="006D43AC">
            <w:pPr>
              <w:spacing w:line="276" w:lineRule="auto"/>
              <w:jc w:val="center"/>
              <w:rPr>
                <w:rFonts w:cstheme="minorHAnsi"/>
                <w:sz w:val="20"/>
                <w:szCs w:val="20"/>
              </w:rPr>
            </w:pPr>
            <w:r w:rsidRPr="0085122B">
              <w:rPr>
                <w:rFonts w:cstheme="minorHAnsi"/>
                <w:sz w:val="20"/>
                <w:szCs w:val="20"/>
              </w:rPr>
              <w:t xml:space="preserve">Local effects: </w:t>
            </w:r>
            <w:proofErr w:type="gramStart"/>
            <w:r w:rsidRPr="0085122B">
              <w:rPr>
                <w:rFonts w:cstheme="minorHAnsi"/>
                <w:sz w:val="20"/>
                <w:szCs w:val="20"/>
              </w:rPr>
              <w:t>Medium</w:t>
            </w:r>
            <w:proofErr w:type="gramEnd"/>
            <w:r w:rsidRPr="0085122B">
              <w:rPr>
                <w:rFonts w:cstheme="minorHAnsi"/>
                <w:sz w:val="20"/>
                <w:szCs w:val="20"/>
              </w:rPr>
              <w:t xml:space="preserve"> hazard (no threshold derived</w:t>
            </w:r>
          </w:p>
        </w:tc>
      </w:tr>
      <w:bookmarkEnd w:id="0"/>
    </w:tbl>
    <w:p w14:paraId="76800065" w14:textId="77777777" w:rsidR="006D43AC" w:rsidRPr="0085122B" w:rsidRDefault="006D43AC" w:rsidP="006D43AC">
      <w:pPr>
        <w:spacing w:after="0" w:line="276" w:lineRule="auto"/>
        <w:rPr>
          <w:rFonts w:cstheme="minorHAnsi"/>
        </w:rPr>
      </w:pPr>
    </w:p>
    <w:p w14:paraId="279C097F" w14:textId="77777777" w:rsidR="006D43AC" w:rsidRPr="0085122B" w:rsidRDefault="006D43AC" w:rsidP="006D43AC">
      <w:pPr>
        <w:spacing w:after="0" w:line="276" w:lineRule="auto"/>
        <w:rPr>
          <w:rFonts w:cstheme="minorHAnsi"/>
        </w:rPr>
      </w:pPr>
      <w:r w:rsidRPr="0085122B">
        <w:rPr>
          <w:rFonts w:cstheme="minorHAnsi"/>
        </w:rPr>
        <w:t>PNECS relative to zinc ion</w:t>
      </w:r>
    </w:p>
    <w:tbl>
      <w:tblPr>
        <w:tblStyle w:val="Mkatabulky"/>
        <w:tblW w:w="0" w:type="auto"/>
        <w:tblLook w:val="04A0" w:firstRow="1" w:lastRow="0" w:firstColumn="1" w:lastColumn="0" w:noHBand="0" w:noVBand="1"/>
      </w:tblPr>
      <w:tblGrid>
        <w:gridCol w:w="4508"/>
        <w:gridCol w:w="4508"/>
      </w:tblGrid>
      <w:tr w:rsidR="0085122B" w:rsidRPr="0085122B" w14:paraId="382D9D56"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282508B5" w14:textId="77777777" w:rsidR="006D43AC" w:rsidRPr="0085122B" w:rsidRDefault="006D43AC">
            <w:pPr>
              <w:spacing w:line="276" w:lineRule="auto"/>
              <w:rPr>
                <w:rFonts w:cstheme="minorHAnsi"/>
              </w:rPr>
            </w:pPr>
            <w:r w:rsidRPr="0085122B">
              <w:rPr>
                <w:rFonts w:cstheme="minorHAnsi"/>
              </w:rPr>
              <w:t>Environmental protection target</w:t>
            </w:r>
          </w:p>
        </w:tc>
        <w:tc>
          <w:tcPr>
            <w:tcW w:w="4508" w:type="dxa"/>
            <w:tcBorders>
              <w:top w:val="single" w:sz="4" w:space="0" w:color="auto"/>
              <w:left w:val="single" w:sz="4" w:space="0" w:color="auto"/>
              <w:bottom w:val="single" w:sz="4" w:space="0" w:color="auto"/>
              <w:right w:val="single" w:sz="4" w:space="0" w:color="auto"/>
            </w:tcBorders>
            <w:hideMark/>
          </w:tcPr>
          <w:p w14:paraId="2FCBCABE" w14:textId="77777777" w:rsidR="006D43AC" w:rsidRPr="0085122B" w:rsidRDefault="006D43AC">
            <w:pPr>
              <w:spacing w:line="276" w:lineRule="auto"/>
              <w:rPr>
                <w:rFonts w:cstheme="minorHAnsi"/>
                <w:sz w:val="24"/>
                <w:szCs w:val="24"/>
              </w:rPr>
            </w:pPr>
            <w:r w:rsidRPr="0085122B">
              <w:rPr>
                <w:rFonts w:cstheme="minorHAnsi"/>
                <w:sz w:val="24"/>
                <w:szCs w:val="24"/>
              </w:rPr>
              <w:t>PNECs</w:t>
            </w:r>
          </w:p>
        </w:tc>
      </w:tr>
      <w:tr w:rsidR="0085122B" w:rsidRPr="0085122B" w14:paraId="06EB0C40"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48F9BC91" w14:textId="77777777" w:rsidR="006D43AC" w:rsidRPr="0085122B" w:rsidRDefault="006D43AC">
            <w:pPr>
              <w:spacing w:line="276" w:lineRule="auto"/>
              <w:rPr>
                <w:rFonts w:cstheme="minorHAnsi"/>
              </w:rPr>
            </w:pPr>
            <w:r w:rsidRPr="0085122B">
              <w:rPr>
                <w:rFonts w:cstheme="minorHAnsi"/>
              </w:rPr>
              <w:t>Freshwater</w:t>
            </w:r>
          </w:p>
        </w:tc>
        <w:tc>
          <w:tcPr>
            <w:tcW w:w="4508" w:type="dxa"/>
            <w:tcBorders>
              <w:top w:val="single" w:sz="4" w:space="0" w:color="auto"/>
              <w:left w:val="single" w:sz="4" w:space="0" w:color="auto"/>
              <w:bottom w:val="single" w:sz="4" w:space="0" w:color="auto"/>
              <w:right w:val="single" w:sz="4" w:space="0" w:color="auto"/>
            </w:tcBorders>
            <w:hideMark/>
          </w:tcPr>
          <w:p w14:paraId="2FC3D5BA" w14:textId="77777777" w:rsidR="006D43AC" w:rsidRPr="0085122B" w:rsidRDefault="006D43AC">
            <w:pPr>
              <w:spacing w:line="276" w:lineRule="auto"/>
              <w:rPr>
                <w:rFonts w:cstheme="minorHAnsi"/>
              </w:rPr>
            </w:pPr>
            <w:r w:rsidRPr="0085122B">
              <w:rPr>
                <w:rFonts w:cstheme="minorHAnsi"/>
              </w:rPr>
              <w:t>14.4 µg/L</w:t>
            </w:r>
          </w:p>
        </w:tc>
      </w:tr>
      <w:tr w:rsidR="0085122B" w:rsidRPr="0085122B" w14:paraId="669A9154"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0241B843" w14:textId="77777777" w:rsidR="006D43AC" w:rsidRPr="0085122B" w:rsidRDefault="006D43AC">
            <w:pPr>
              <w:spacing w:line="276" w:lineRule="auto"/>
              <w:rPr>
                <w:rFonts w:cstheme="minorHAnsi"/>
              </w:rPr>
            </w:pPr>
            <w:r w:rsidRPr="0085122B">
              <w:rPr>
                <w:rFonts w:cstheme="minorHAnsi"/>
              </w:rPr>
              <w:t>Freshwater sediments</w:t>
            </w:r>
          </w:p>
        </w:tc>
        <w:tc>
          <w:tcPr>
            <w:tcW w:w="4508" w:type="dxa"/>
            <w:tcBorders>
              <w:top w:val="single" w:sz="4" w:space="0" w:color="auto"/>
              <w:left w:val="single" w:sz="4" w:space="0" w:color="auto"/>
              <w:bottom w:val="single" w:sz="4" w:space="0" w:color="auto"/>
              <w:right w:val="single" w:sz="4" w:space="0" w:color="auto"/>
            </w:tcBorders>
            <w:hideMark/>
          </w:tcPr>
          <w:p w14:paraId="2E46A0FB" w14:textId="77777777" w:rsidR="006D43AC" w:rsidRPr="0085122B" w:rsidRDefault="006D43AC">
            <w:pPr>
              <w:spacing w:line="276" w:lineRule="auto"/>
              <w:rPr>
                <w:rFonts w:cstheme="minorHAnsi"/>
              </w:rPr>
            </w:pPr>
            <w:r w:rsidRPr="0085122B">
              <w:rPr>
                <w:rFonts w:cstheme="minorHAnsi"/>
              </w:rPr>
              <w:t xml:space="preserve">146.9 mg/kg sediment </w:t>
            </w:r>
            <w:proofErr w:type="spellStart"/>
            <w:r w:rsidRPr="0085122B">
              <w:rPr>
                <w:rFonts w:cstheme="minorHAnsi"/>
              </w:rPr>
              <w:t>dw</w:t>
            </w:r>
            <w:proofErr w:type="spellEnd"/>
          </w:p>
        </w:tc>
      </w:tr>
      <w:tr w:rsidR="0085122B" w:rsidRPr="0085122B" w14:paraId="22EA0BBE"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52C633AF" w14:textId="77777777" w:rsidR="006D43AC" w:rsidRPr="0085122B" w:rsidRDefault="006D43AC">
            <w:pPr>
              <w:spacing w:line="276" w:lineRule="auto"/>
              <w:rPr>
                <w:rFonts w:cstheme="minorHAnsi"/>
              </w:rPr>
            </w:pPr>
            <w:r w:rsidRPr="0085122B">
              <w:rPr>
                <w:rFonts w:cstheme="minorHAnsi"/>
              </w:rPr>
              <w:t>Marine water</w:t>
            </w:r>
          </w:p>
        </w:tc>
        <w:tc>
          <w:tcPr>
            <w:tcW w:w="4508" w:type="dxa"/>
            <w:tcBorders>
              <w:top w:val="single" w:sz="4" w:space="0" w:color="auto"/>
              <w:left w:val="single" w:sz="4" w:space="0" w:color="auto"/>
              <w:bottom w:val="single" w:sz="4" w:space="0" w:color="auto"/>
              <w:right w:val="single" w:sz="4" w:space="0" w:color="auto"/>
            </w:tcBorders>
            <w:hideMark/>
          </w:tcPr>
          <w:p w14:paraId="18B99732" w14:textId="77777777" w:rsidR="006D43AC" w:rsidRPr="0085122B" w:rsidRDefault="006D43AC">
            <w:pPr>
              <w:spacing w:line="276" w:lineRule="auto"/>
              <w:rPr>
                <w:rFonts w:cstheme="minorHAnsi"/>
              </w:rPr>
            </w:pPr>
            <w:r w:rsidRPr="0085122B">
              <w:rPr>
                <w:rFonts w:cstheme="minorHAnsi"/>
              </w:rPr>
              <w:t>7.2 µg/L</w:t>
            </w:r>
          </w:p>
        </w:tc>
      </w:tr>
      <w:tr w:rsidR="0085122B" w:rsidRPr="0085122B" w14:paraId="5237D85F"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07D142CE" w14:textId="77777777" w:rsidR="006D43AC" w:rsidRPr="0085122B" w:rsidRDefault="006D43AC">
            <w:pPr>
              <w:spacing w:line="276" w:lineRule="auto"/>
              <w:rPr>
                <w:rFonts w:cstheme="minorHAnsi"/>
              </w:rPr>
            </w:pPr>
            <w:r w:rsidRPr="0085122B">
              <w:rPr>
                <w:rFonts w:cstheme="minorHAnsi"/>
              </w:rPr>
              <w:t>Marine sediments</w:t>
            </w:r>
          </w:p>
        </w:tc>
        <w:tc>
          <w:tcPr>
            <w:tcW w:w="4508" w:type="dxa"/>
            <w:tcBorders>
              <w:top w:val="single" w:sz="4" w:space="0" w:color="auto"/>
              <w:left w:val="single" w:sz="4" w:space="0" w:color="auto"/>
              <w:bottom w:val="single" w:sz="4" w:space="0" w:color="auto"/>
              <w:right w:val="single" w:sz="4" w:space="0" w:color="auto"/>
            </w:tcBorders>
            <w:hideMark/>
          </w:tcPr>
          <w:p w14:paraId="01FC96F5" w14:textId="77777777" w:rsidR="006D43AC" w:rsidRPr="0085122B" w:rsidRDefault="006D43AC">
            <w:pPr>
              <w:spacing w:line="276" w:lineRule="auto"/>
              <w:rPr>
                <w:rFonts w:cstheme="minorHAnsi"/>
              </w:rPr>
            </w:pPr>
            <w:r w:rsidRPr="0085122B">
              <w:rPr>
                <w:rFonts w:cstheme="minorHAnsi"/>
              </w:rPr>
              <w:t xml:space="preserve">162.2 mg/kg sediment </w:t>
            </w:r>
            <w:proofErr w:type="spellStart"/>
            <w:r w:rsidRPr="0085122B">
              <w:rPr>
                <w:rFonts w:cstheme="minorHAnsi"/>
              </w:rPr>
              <w:t>dw</w:t>
            </w:r>
            <w:proofErr w:type="spellEnd"/>
          </w:p>
        </w:tc>
      </w:tr>
      <w:tr w:rsidR="0085122B" w:rsidRPr="0085122B" w14:paraId="3EA0FAB4"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4374842A" w14:textId="77777777" w:rsidR="006D43AC" w:rsidRPr="0085122B" w:rsidRDefault="006D43AC">
            <w:pPr>
              <w:spacing w:line="276" w:lineRule="auto"/>
              <w:rPr>
                <w:rFonts w:cstheme="minorHAnsi"/>
              </w:rPr>
            </w:pPr>
            <w:r w:rsidRPr="0085122B">
              <w:rPr>
                <w:rFonts w:cstheme="minorHAnsi"/>
              </w:rPr>
              <w:t>Food chain</w:t>
            </w:r>
          </w:p>
        </w:tc>
        <w:tc>
          <w:tcPr>
            <w:tcW w:w="4508" w:type="dxa"/>
            <w:tcBorders>
              <w:top w:val="single" w:sz="4" w:space="0" w:color="auto"/>
              <w:left w:val="single" w:sz="4" w:space="0" w:color="auto"/>
              <w:bottom w:val="single" w:sz="4" w:space="0" w:color="auto"/>
              <w:right w:val="single" w:sz="4" w:space="0" w:color="auto"/>
            </w:tcBorders>
            <w:hideMark/>
          </w:tcPr>
          <w:p w14:paraId="67FF0CF5" w14:textId="77777777" w:rsidR="006D43AC" w:rsidRPr="0085122B" w:rsidRDefault="006D43AC">
            <w:pPr>
              <w:spacing w:line="276" w:lineRule="auto"/>
              <w:rPr>
                <w:rFonts w:cstheme="minorHAnsi"/>
              </w:rPr>
            </w:pPr>
            <w:r w:rsidRPr="0085122B">
              <w:rPr>
                <w:rFonts w:cstheme="minorHAnsi"/>
              </w:rPr>
              <w:t>No potential for bioaccumulation</w:t>
            </w:r>
          </w:p>
        </w:tc>
      </w:tr>
      <w:tr w:rsidR="0085122B" w:rsidRPr="0085122B" w14:paraId="00889156"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40BEB437" w14:textId="77777777" w:rsidR="006D43AC" w:rsidRPr="0085122B" w:rsidRDefault="006D43AC">
            <w:pPr>
              <w:spacing w:line="276" w:lineRule="auto"/>
              <w:rPr>
                <w:rFonts w:cstheme="minorHAnsi"/>
              </w:rPr>
            </w:pPr>
            <w:r w:rsidRPr="0085122B">
              <w:rPr>
                <w:rFonts w:cstheme="minorHAnsi"/>
              </w:rPr>
              <w:t>Microorganisms in sewage treatment</w:t>
            </w:r>
          </w:p>
        </w:tc>
        <w:tc>
          <w:tcPr>
            <w:tcW w:w="4508" w:type="dxa"/>
            <w:tcBorders>
              <w:top w:val="single" w:sz="4" w:space="0" w:color="auto"/>
              <w:left w:val="single" w:sz="4" w:space="0" w:color="auto"/>
              <w:bottom w:val="single" w:sz="4" w:space="0" w:color="auto"/>
              <w:right w:val="single" w:sz="4" w:space="0" w:color="auto"/>
            </w:tcBorders>
            <w:hideMark/>
          </w:tcPr>
          <w:p w14:paraId="6F14803D" w14:textId="77777777" w:rsidR="006D43AC" w:rsidRPr="0085122B" w:rsidRDefault="006D43AC">
            <w:pPr>
              <w:spacing w:line="276" w:lineRule="auto"/>
              <w:rPr>
                <w:rFonts w:cstheme="minorHAnsi"/>
              </w:rPr>
            </w:pPr>
            <w:r w:rsidRPr="0085122B">
              <w:rPr>
                <w:rFonts w:cstheme="minorHAnsi"/>
              </w:rPr>
              <w:t>100 µg/L</w:t>
            </w:r>
          </w:p>
        </w:tc>
      </w:tr>
      <w:tr w:rsidR="0085122B" w:rsidRPr="0085122B" w14:paraId="1676FB4F"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123C3662" w14:textId="77777777" w:rsidR="006D43AC" w:rsidRPr="0085122B" w:rsidRDefault="006D43AC">
            <w:pPr>
              <w:spacing w:line="276" w:lineRule="auto"/>
              <w:rPr>
                <w:rFonts w:cstheme="minorHAnsi"/>
              </w:rPr>
            </w:pPr>
            <w:r w:rsidRPr="0085122B">
              <w:rPr>
                <w:rFonts w:cstheme="minorHAnsi"/>
              </w:rPr>
              <w:t>Soil (agricultural)</w:t>
            </w:r>
          </w:p>
        </w:tc>
        <w:tc>
          <w:tcPr>
            <w:tcW w:w="4508" w:type="dxa"/>
            <w:tcBorders>
              <w:top w:val="single" w:sz="4" w:space="0" w:color="auto"/>
              <w:left w:val="single" w:sz="4" w:space="0" w:color="auto"/>
              <w:bottom w:val="single" w:sz="4" w:space="0" w:color="auto"/>
              <w:right w:val="single" w:sz="4" w:space="0" w:color="auto"/>
            </w:tcBorders>
            <w:hideMark/>
          </w:tcPr>
          <w:p w14:paraId="2AFF128A" w14:textId="77777777" w:rsidR="006D43AC" w:rsidRPr="0085122B" w:rsidRDefault="006D43AC">
            <w:pPr>
              <w:spacing w:line="276" w:lineRule="auto"/>
              <w:rPr>
                <w:rFonts w:cstheme="minorHAnsi"/>
              </w:rPr>
            </w:pPr>
            <w:r w:rsidRPr="0085122B">
              <w:rPr>
                <w:rFonts w:cstheme="minorHAnsi"/>
              </w:rPr>
              <w:t xml:space="preserve">83.1 mg/kg soil </w:t>
            </w:r>
            <w:proofErr w:type="spellStart"/>
            <w:r w:rsidRPr="0085122B">
              <w:rPr>
                <w:rFonts w:cstheme="minorHAnsi"/>
              </w:rPr>
              <w:t>dw</w:t>
            </w:r>
            <w:proofErr w:type="spellEnd"/>
          </w:p>
        </w:tc>
      </w:tr>
      <w:tr w:rsidR="006D43AC" w:rsidRPr="0085122B" w14:paraId="2319583E"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6D93C63F" w14:textId="77777777" w:rsidR="006D43AC" w:rsidRPr="0085122B" w:rsidRDefault="006D43AC">
            <w:pPr>
              <w:spacing w:line="276" w:lineRule="auto"/>
              <w:rPr>
                <w:rFonts w:cstheme="minorHAnsi"/>
              </w:rPr>
            </w:pPr>
            <w:r w:rsidRPr="0085122B">
              <w:rPr>
                <w:rFonts w:cstheme="minorHAnsi"/>
              </w:rPr>
              <w:t>Air</w:t>
            </w:r>
          </w:p>
        </w:tc>
        <w:tc>
          <w:tcPr>
            <w:tcW w:w="4508" w:type="dxa"/>
            <w:tcBorders>
              <w:top w:val="single" w:sz="4" w:space="0" w:color="auto"/>
              <w:left w:val="single" w:sz="4" w:space="0" w:color="auto"/>
              <w:bottom w:val="single" w:sz="4" w:space="0" w:color="auto"/>
              <w:right w:val="single" w:sz="4" w:space="0" w:color="auto"/>
            </w:tcBorders>
            <w:hideMark/>
          </w:tcPr>
          <w:p w14:paraId="59295E73" w14:textId="77777777" w:rsidR="006D43AC" w:rsidRPr="0085122B" w:rsidRDefault="006D43AC">
            <w:pPr>
              <w:spacing w:line="276" w:lineRule="auto"/>
              <w:rPr>
                <w:rFonts w:cstheme="minorHAnsi"/>
              </w:rPr>
            </w:pPr>
            <w:r w:rsidRPr="0085122B">
              <w:rPr>
                <w:rFonts w:cstheme="minorHAnsi"/>
              </w:rPr>
              <w:t>No hazard identified</w:t>
            </w:r>
          </w:p>
        </w:tc>
      </w:tr>
    </w:tbl>
    <w:p w14:paraId="1E5AFCAC" w14:textId="77777777" w:rsidR="006D43AC" w:rsidRPr="0085122B" w:rsidRDefault="006D43AC" w:rsidP="006D43AC">
      <w:pPr>
        <w:spacing w:after="0" w:line="276" w:lineRule="auto"/>
        <w:rPr>
          <w:rFonts w:cstheme="minorHAnsi"/>
        </w:rPr>
      </w:pPr>
    </w:p>
    <w:p w14:paraId="239C042A" w14:textId="66B004AD" w:rsidR="006D43AC" w:rsidRPr="0085122B" w:rsidRDefault="006D43AC" w:rsidP="006D43AC">
      <w:pPr>
        <w:spacing w:after="0" w:line="276" w:lineRule="auto"/>
        <w:rPr>
          <w:rFonts w:cstheme="minorHAnsi"/>
        </w:rPr>
      </w:pPr>
      <w:r w:rsidRPr="0085122B">
        <w:rPr>
          <w:rFonts w:cstheme="minorHAnsi"/>
        </w:rPr>
        <w:t>PNECS Zinc Sulphate</w:t>
      </w:r>
    </w:p>
    <w:tbl>
      <w:tblPr>
        <w:tblStyle w:val="Mkatabulky"/>
        <w:tblW w:w="0" w:type="auto"/>
        <w:tblLook w:val="04A0" w:firstRow="1" w:lastRow="0" w:firstColumn="1" w:lastColumn="0" w:noHBand="0" w:noVBand="1"/>
      </w:tblPr>
      <w:tblGrid>
        <w:gridCol w:w="4508"/>
        <w:gridCol w:w="4508"/>
      </w:tblGrid>
      <w:tr w:rsidR="0085122B" w:rsidRPr="0085122B" w14:paraId="0F7C048B"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33588325" w14:textId="77777777" w:rsidR="006D43AC" w:rsidRPr="0085122B" w:rsidRDefault="006D43AC">
            <w:pPr>
              <w:spacing w:line="276" w:lineRule="auto"/>
              <w:rPr>
                <w:rFonts w:cstheme="minorHAnsi"/>
              </w:rPr>
            </w:pPr>
            <w:r w:rsidRPr="0085122B">
              <w:rPr>
                <w:rFonts w:cstheme="minorHAnsi"/>
              </w:rPr>
              <w:t>Environmental protection target</w:t>
            </w:r>
          </w:p>
        </w:tc>
        <w:tc>
          <w:tcPr>
            <w:tcW w:w="4508" w:type="dxa"/>
            <w:tcBorders>
              <w:top w:val="single" w:sz="4" w:space="0" w:color="auto"/>
              <w:left w:val="single" w:sz="4" w:space="0" w:color="auto"/>
              <w:bottom w:val="single" w:sz="4" w:space="0" w:color="auto"/>
              <w:right w:val="single" w:sz="4" w:space="0" w:color="auto"/>
            </w:tcBorders>
            <w:hideMark/>
          </w:tcPr>
          <w:p w14:paraId="65ABEBA5" w14:textId="77777777" w:rsidR="006D43AC" w:rsidRPr="0085122B" w:rsidRDefault="006D43AC">
            <w:pPr>
              <w:spacing w:line="276" w:lineRule="auto"/>
              <w:rPr>
                <w:rFonts w:cstheme="minorHAnsi"/>
                <w:sz w:val="24"/>
                <w:szCs w:val="24"/>
              </w:rPr>
            </w:pPr>
            <w:r w:rsidRPr="0085122B">
              <w:rPr>
                <w:rFonts w:cstheme="minorHAnsi"/>
                <w:sz w:val="24"/>
                <w:szCs w:val="24"/>
              </w:rPr>
              <w:t>PNECs</w:t>
            </w:r>
          </w:p>
        </w:tc>
      </w:tr>
      <w:tr w:rsidR="0085122B" w:rsidRPr="0085122B" w14:paraId="01C37991"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23C6F5AE" w14:textId="77777777" w:rsidR="006D43AC" w:rsidRPr="0085122B" w:rsidRDefault="006D43AC">
            <w:pPr>
              <w:spacing w:line="276" w:lineRule="auto"/>
              <w:rPr>
                <w:rFonts w:cstheme="minorHAnsi"/>
              </w:rPr>
            </w:pPr>
            <w:r w:rsidRPr="0085122B">
              <w:rPr>
                <w:rFonts w:cstheme="minorHAnsi"/>
              </w:rPr>
              <w:t>Freshwater</w:t>
            </w:r>
          </w:p>
        </w:tc>
        <w:tc>
          <w:tcPr>
            <w:tcW w:w="4508" w:type="dxa"/>
            <w:tcBorders>
              <w:top w:val="single" w:sz="4" w:space="0" w:color="auto"/>
              <w:left w:val="single" w:sz="4" w:space="0" w:color="auto"/>
              <w:bottom w:val="single" w:sz="4" w:space="0" w:color="auto"/>
              <w:right w:val="single" w:sz="4" w:space="0" w:color="auto"/>
            </w:tcBorders>
            <w:hideMark/>
          </w:tcPr>
          <w:p w14:paraId="22CBDBFF" w14:textId="7F6685B0" w:rsidR="006D43AC" w:rsidRPr="0085122B" w:rsidRDefault="006D43AC">
            <w:pPr>
              <w:spacing w:line="276" w:lineRule="auto"/>
              <w:rPr>
                <w:rFonts w:cstheme="minorHAnsi"/>
              </w:rPr>
            </w:pPr>
            <w:r w:rsidRPr="0085122B">
              <w:rPr>
                <w:rFonts w:cstheme="minorHAnsi"/>
              </w:rPr>
              <w:t>35.6 µg/L</w:t>
            </w:r>
          </w:p>
        </w:tc>
      </w:tr>
      <w:tr w:rsidR="0085122B" w:rsidRPr="0085122B" w14:paraId="584E3963"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431B5E6E" w14:textId="77777777" w:rsidR="006D43AC" w:rsidRPr="0085122B" w:rsidRDefault="006D43AC">
            <w:pPr>
              <w:spacing w:line="276" w:lineRule="auto"/>
              <w:rPr>
                <w:rFonts w:cstheme="minorHAnsi"/>
              </w:rPr>
            </w:pPr>
            <w:r w:rsidRPr="0085122B">
              <w:rPr>
                <w:rFonts w:cstheme="minorHAnsi"/>
              </w:rPr>
              <w:t>Freshwater sediments</w:t>
            </w:r>
          </w:p>
        </w:tc>
        <w:tc>
          <w:tcPr>
            <w:tcW w:w="4508" w:type="dxa"/>
            <w:tcBorders>
              <w:top w:val="single" w:sz="4" w:space="0" w:color="auto"/>
              <w:left w:val="single" w:sz="4" w:space="0" w:color="auto"/>
              <w:bottom w:val="single" w:sz="4" w:space="0" w:color="auto"/>
              <w:right w:val="single" w:sz="4" w:space="0" w:color="auto"/>
            </w:tcBorders>
            <w:hideMark/>
          </w:tcPr>
          <w:p w14:paraId="0C0288FE" w14:textId="1B256343" w:rsidR="006D43AC" w:rsidRPr="0085122B" w:rsidRDefault="006D43AC">
            <w:pPr>
              <w:spacing w:line="276" w:lineRule="auto"/>
              <w:rPr>
                <w:rFonts w:cstheme="minorHAnsi"/>
              </w:rPr>
            </w:pPr>
            <w:r w:rsidRPr="0085122B">
              <w:rPr>
                <w:rFonts w:cstheme="minorHAnsi"/>
              </w:rPr>
              <w:t xml:space="preserve">362.7 mg/kg sediment </w:t>
            </w:r>
            <w:proofErr w:type="spellStart"/>
            <w:r w:rsidRPr="0085122B">
              <w:rPr>
                <w:rFonts w:cstheme="minorHAnsi"/>
              </w:rPr>
              <w:t>dw</w:t>
            </w:r>
            <w:proofErr w:type="spellEnd"/>
          </w:p>
        </w:tc>
      </w:tr>
      <w:tr w:rsidR="0085122B" w:rsidRPr="0085122B" w14:paraId="09631B42"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4BFC5EE2" w14:textId="77777777" w:rsidR="006D43AC" w:rsidRPr="0085122B" w:rsidRDefault="006D43AC">
            <w:pPr>
              <w:spacing w:line="276" w:lineRule="auto"/>
              <w:rPr>
                <w:rFonts w:cstheme="minorHAnsi"/>
              </w:rPr>
            </w:pPr>
            <w:r w:rsidRPr="0085122B">
              <w:rPr>
                <w:rFonts w:cstheme="minorHAnsi"/>
              </w:rPr>
              <w:t>Marine water</w:t>
            </w:r>
          </w:p>
        </w:tc>
        <w:tc>
          <w:tcPr>
            <w:tcW w:w="4508" w:type="dxa"/>
            <w:tcBorders>
              <w:top w:val="single" w:sz="4" w:space="0" w:color="auto"/>
              <w:left w:val="single" w:sz="4" w:space="0" w:color="auto"/>
              <w:bottom w:val="single" w:sz="4" w:space="0" w:color="auto"/>
              <w:right w:val="single" w:sz="4" w:space="0" w:color="auto"/>
            </w:tcBorders>
            <w:hideMark/>
          </w:tcPr>
          <w:p w14:paraId="2BD0EEBA" w14:textId="26794C2E" w:rsidR="006D43AC" w:rsidRPr="0085122B" w:rsidRDefault="006D43AC">
            <w:pPr>
              <w:spacing w:line="276" w:lineRule="auto"/>
              <w:rPr>
                <w:rFonts w:cstheme="minorHAnsi"/>
              </w:rPr>
            </w:pPr>
            <w:r w:rsidRPr="0085122B">
              <w:rPr>
                <w:rFonts w:cstheme="minorHAnsi"/>
              </w:rPr>
              <w:t>17.8 µg/L</w:t>
            </w:r>
          </w:p>
        </w:tc>
      </w:tr>
      <w:tr w:rsidR="0085122B" w:rsidRPr="0085122B" w14:paraId="0A81EA1C"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3A19639B" w14:textId="77777777" w:rsidR="006D43AC" w:rsidRPr="0085122B" w:rsidRDefault="006D43AC">
            <w:pPr>
              <w:spacing w:line="276" w:lineRule="auto"/>
              <w:rPr>
                <w:rFonts w:cstheme="minorHAnsi"/>
              </w:rPr>
            </w:pPr>
            <w:r w:rsidRPr="0085122B">
              <w:rPr>
                <w:rFonts w:cstheme="minorHAnsi"/>
              </w:rPr>
              <w:t>Marine sediments</w:t>
            </w:r>
          </w:p>
        </w:tc>
        <w:tc>
          <w:tcPr>
            <w:tcW w:w="4508" w:type="dxa"/>
            <w:tcBorders>
              <w:top w:val="single" w:sz="4" w:space="0" w:color="auto"/>
              <w:left w:val="single" w:sz="4" w:space="0" w:color="auto"/>
              <w:bottom w:val="single" w:sz="4" w:space="0" w:color="auto"/>
              <w:right w:val="single" w:sz="4" w:space="0" w:color="auto"/>
            </w:tcBorders>
            <w:hideMark/>
          </w:tcPr>
          <w:p w14:paraId="7B0F06B9" w14:textId="1AC58E91" w:rsidR="006D43AC" w:rsidRPr="0085122B" w:rsidRDefault="006D43AC">
            <w:pPr>
              <w:spacing w:line="276" w:lineRule="auto"/>
              <w:rPr>
                <w:rFonts w:cstheme="minorHAnsi"/>
              </w:rPr>
            </w:pPr>
            <w:r w:rsidRPr="0085122B">
              <w:rPr>
                <w:rFonts w:cstheme="minorHAnsi"/>
              </w:rPr>
              <w:t xml:space="preserve">400.5 mg/kg sediment </w:t>
            </w:r>
            <w:proofErr w:type="spellStart"/>
            <w:r w:rsidRPr="0085122B">
              <w:rPr>
                <w:rFonts w:cstheme="minorHAnsi"/>
              </w:rPr>
              <w:t>dw</w:t>
            </w:r>
            <w:proofErr w:type="spellEnd"/>
          </w:p>
        </w:tc>
      </w:tr>
      <w:tr w:rsidR="0085122B" w:rsidRPr="0085122B" w14:paraId="140D79D8"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34FEF43D" w14:textId="77777777" w:rsidR="006D43AC" w:rsidRPr="0085122B" w:rsidRDefault="006D43AC">
            <w:pPr>
              <w:spacing w:line="276" w:lineRule="auto"/>
              <w:rPr>
                <w:rFonts w:cstheme="minorHAnsi"/>
              </w:rPr>
            </w:pPr>
            <w:r w:rsidRPr="0085122B">
              <w:rPr>
                <w:rFonts w:cstheme="minorHAnsi"/>
              </w:rPr>
              <w:t>Food chain</w:t>
            </w:r>
          </w:p>
        </w:tc>
        <w:tc>
          <w:tcPr>
            <w:tcW w:w="4508" w:type="dxa"/>
            <w:tcBorders>
              <w:top w:val="single" w:sz="4" w:space="0" w:color="auto"/>
              <w:left w:val="single" w:sz="4" w:space="0" w:color="auto"/>
              <w:bottom w:val="single" w:sz="4" w:space="0" w:color="auto"/>
              <w:right w:val="single" w:sz="4" w:space="0" w:color="auto"/>
            </w:tcBorders>
            <w:hideMark/>
          </w:tcPr>
          <w:p w14:paraId="33EC8740" w14:textId="77777777" w:rsidR="006D43AC" w:rsidRPr="0085122B" w:rsidRDefault="006D43AC">
            <w:pPr>
              <w:spacing w:line="276" w:lineRule="auto"/>
              <w:rPr>
                <w:rFonts w:cstheme="minorHAnsi"/>
              </w:rPr>
            </w:pPr>
            <w:r w:rsidRPr="0085122B">
              <w:rPr>
                <w:rFonts w:cstheme="minorHAnsi"/>
              </w:rPr>
              <w:t>No potential for bioaccumulation</w:t>
            </w:r>
          </w:p>
        </w:tc>
      </w:tr>
      <w:tr w:rsidR="0085122B" w:rsidRPr="0085122B" w14:paraId="3B6639F8"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640813E8" w14:textId="77777777" w:rsidR="006D43AC" w:rsidRPr="0085122B" w:rsidRDefault="006D43AC">
            <w:pPr>
              <w:spacing w:line="276" w:lineRule="auto"/>
              <w:rPr>
                <w:rFonts w:cstheme="minorHAnsi"/>
              </w:rPr>
            </w:pPr>
            <w:r w:rsidRPr="0085122B">
              <w:rPr>
                <w:rFonts w:cstheme="minorHAnsi"/>
              </w:rPr>
              <w:t>Microorganisms in sewage treatment</w:t>
            </w:r>
          </w:p>
        </w:tc>
        <w:tc>
          <w:tcPr>
            <w:tcW w:w="4508" w:type="dxa"/>
            <w:tcBorders>
              <w:top w:val="single" w:sz="4" w:space="0" w:color="auto"/>
              <w:left w:val="single" w:sz="4" w:space="0" w:color="auto"/>
              <w:bottom w:val="single" w:sz="4" w:space="0" w:color="auto"/>
              <w:right w:val="single" w:sz="4" w:space="0" w:color="auto"/>
            </w:tcBorders>
            <w:hideMark/>
          </w:tcPr>
          <w:p w14:paraId="24F08D37" w14:textId="406FC789" w:rsidR="006D43AC" w:rsidRPr="0085122B" w:rsidRDefault="006D43AC">
            <w:pPr>
              <w:spacing w:line="276" w:lineRule="auto"/>
              <w:rPr>
                <w:rFonts w:cstheme="minorHAnsi"/>
              </w:rPr>
            </w:pPr>
            <w:r w:rsidRPr="0085122B">
              <w:rPr>
                <w:rFonts w:cstheme="minorHAnsi"/>
              </w:rPr>
              <w:t>246.9 µg/L</w:t>
            </w:r>
          </w:p>
        </w:tc>
      </w:tr>
      <w:tr w:rsidR="0085122B" w:rsidRPr="0085122B" w14:paraId="757B51DB"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5BCAA167" w14:textId="77777777" w:rsidR="006D43AC" w:rsidRPr="0085122B" w:rsidRDefault="006D43AC">
            <w:pPr>
              <w:spacing w:line="276" w:lineRule="auto"/>
              <w:rPr>
                <w:rFonts w:cstheme="minorHAnsi"/>
              </w:rPr>
            </w:pPr>
            <w:r w:rsidRPr="0085122B">
              <w:rPr>
                <w:rFonts w:cstheme="minorHAnsi"/>
              </w:rPr>
              <w:t>Soil (agricultural)</w:t>
            </w:r>
          </w:p>
        </w:tc>
        <w:tc>
          <w:tcPr>
            <w:tcW w:w="4508" w:type="dxa"/>
            <w:tcBorders>
              <w:top w:val="single" w:sz="4" w:space="0" w:color="auto"/>
              <w:left w:val="single" w:sz="4" w:space="0" w:color="auto"/>
              <w:bottom w:val="single" w:sz="4" w:space="0" w:color="auto"/>
              <w:right w:val="single" w:sz="4" w:space="0" w:color="auto"/>
            </w:tcBorders>
            <w:hideMark/>
          </w:tcPr>
          <w:p w14:paraId="079EE31C" w14:textId="6AB2357D" w:rsidR="006D43AC" w:rsidRPr="0085122B" w:rsidRDefault="006D43AC">
            <w:pPr>
              <w:spacing w:line="276" w:lineRule="auto"/>
              <w:rPr>
                <w:rFonts w:cstheme="minorHAnsi"/>
              </w:rPr>
            </w:pPr>
            <w:r w:rsidRPr="0085122B">
              <w:rPr>
                <w:rFonts w:cstheme="minorHAnsi"/>
              </w:rPr>
              <w:t xml:space="preserve">205.2 mg/kg soil </w:t>
            </w:r>
            <w:proofErr w:type="spellStart"/>
            <w:r w:rsidRPr="0085122B">
              <w:rPr>
                <w:rFonts w:cstheme="minorHAnsi"/>
              </w:rPr>
              <w:t>dw</w:t>
            </w:r>
            <w:proofErr w:type="spellEnd"/>
          </w:p>
        </w:tc>
      </w:tr>
      <w:tr w:rsidR="006D43AC" w:rsidRPr="0085122B" w14:paraId="4BE25D63" w14:textId="77777777" w:rsidTr="006D43AC">
        <w:tc>
          <w:tcPr>
            <w:tcW w:w="4508" w:type="dxa"/>
            <w:tcBorders>
              <w:top w:val="single" w:sz="4" w:space="0" w:color="auto"/>
              <w:left w:val="single" w:sz="4" w:space="0" w:color="auto"/>
              <w:bottom w:val="single" w:sz="4" w:space="0" w:color="auto"/>
              <w:right w:val="single" w:sz="4" w:space="0" w:color="auto"/>
            </w:tcBorders>
            <w:hideMark/>
          </w:tcPr>
          <w:p w14:paraId="1700309A" w14:textId="77777777" w:rsidR="006D43AC" w:rsidRPr="0085122B" w:rsidRDefault="006D43AC">
            <w:pPr>
              <w:spacing w:line="276" w:lineRule="auto"/>
              <w:rPr>
                <w:rFonts w:cstheme="minorHAnsi"/>
              </w:rPr>
            </w:pPr>
            <w:r w:rsidRPr="0085122B">
              <w:rPr>
                <w:rFonts w:cstheme="minorHAnsi"/>
              </w:rPr>
              <w:t>Air</w:t>
            </w:r>
          </w:p>
        </w:tc>
        <w:tc>
          <w:tcPr>
            <w:tcW w:w="4508" w:type="dxa"/>
            <w:tcBorders>
              <w:top w:val="single" w:sz="4" w:space="0" w:color="auto"/>
              <w:left w:val="single" w:sz="4" w:space="0" w:color="auto"/>
              <w:bottom w:val="single" w:sz="4" w:space="0" w:color="auto"/>
              <w:right w:val="single" w:sz="4" w:space="0" w:color="auto"/>
            </w:tcBorders>
            <w:hideMark/>
          </w:tcPr>
          <w:p w14:paraId="7D55491A" w14:textId="77777777" w:rsidR="006D43AC" w:rsidRPr="0085122B" w:rsidRDefault="006D43AC">
            <w:pPr>
              <w:spacing w:line="276" w:lineRule="auto"/>
              <w:rPr>
                <w:rFonts w:cstheme="minorHAnsi"/>
              </w:rPr>
            </w:pPr>
            <w:r w:rsidRPr="0085122B">
              <w:rPr>
                <w:rFonts w:cstheme="minorHAnsi"/>
              </w:rPr>
              <w:t>No hazard identified</w:t>
            </w:r>
          </w:p>
        </w:tc>
      </w:tr>
    </w:tbl>
    <w:p w14:paraId="12B03613" w14:textId="77777777" w:rsidR="006D43AC" w:rsidRPr="0085122B" w:rsidRDefault="006D43AC">
      <w:pPr>
        <w:rPr>
          <w:b/>
          <w:bCs/>
        </w:rPr>
      </w:pPr>
    </w:p>
    <w:p w14:paraId="4FA73B8B" w14:textId="77777777" w:rsidR="006D43AC" w:rsidRPr="0085122B" w:rsidRDefault="006D43AC">
      <w:pPr>
        <w:rPr>
          <w:b/>
          <w:bCs/>
        </w:rPr>
      </w:pPr>
    </w:p>
    <w:p w14:paraId="572B877A" w14:textId="0D173DB7" w:rsidR="007453CC" w:rsidRPr="0085122B" w:rsidRDefault="007453CC">
      <w:pPr>
        <w:rPr>
          <w:b/>
          <w:bCs/>
        </w:rPr>
      </w:pPr>
      <w:r w:rsidRPr="0085122B">
        <w:rPr>
          <w:b/>
          <w:bCs/>
        </w:rPr>
        <w:lastRenderedPageBreak/>
        <w:t>Section 11: Toxicological information</w:t>
      </w:r>
    </w:p>
    <w:p w14:paraId="406B21FE" w14:textId="79EE2B88" w:rsidR="00921976" w:rsidRPr="0085122B" w:rsidRDefault="00921976">
      <w:pPr>
        <w:rPr>
          <w:b/>
          <w:bCs/>
        </w:rPr>
      </w:pPr>
      <w:r w:rsidRPr="0085122B">
        <w:t>11.1. Information on hazard classes as defined in Regulation (EC) No 1272/2008</w:t>
      </w:r>
    </w:p>
    <w:p w14:paraId="3339D750" w14:textId="3964019A" w:rsidR="00223B62" w:rsidRPr="0085122B" w:rsidRDefault="00921976">
      <w:pPr>
        <w:rPr>
          <w:b/>
          <w:bCs/>
        </w:rPr>
      </w:pPr>
      <w:r w:rsidRPr="0085122B">
        <w:rPr>
          <w:b/>
          <w:bCs/>
        </w:rPr>
        <w:t xml:space="preserve">a) </w:t>
      </w:r>
      <w:r w:rsidR="002871EA" w:rsidRPr="0085122B">
        <w:rPr>
          <w:b/>
          <w:bCs/>
        </w:rPr>
        <w:t>Acute Toxicity</w:t>
      </w:r>
      <w:r w:rsidR="0013574B" w:rsidRPr="0085122B">
        <w:rPr>
          <w:b/>
          <w:bCs/>
        </w:rPr>
        <w:t xml:space="preserve"> – </w:t>
      </w:r>
      <w:bookmarkStart w:id="1" w:name="_Hlk122010205"/>
      <w:r w:rsidR="006157C1" w:rsidRPr="0085122B">
        <w:rPr>
          <w:b/>
          <w:bCs/>
        </w:rPr>
        <w:t xml:space="preserve">Acute Tox. oral Cat. 4; Acute Tox inhalation/dermal: </w:t>
      </w:r>
      <w:bookmarkEnd w:id="1"/>
      <w:r w:rsidR="0013574B" w:rsidRPr="0085122B">
        <w:rPr>
          <w:b/>
          <w:bCs/>
        </w:rPr>
        <w:t>classification criteria not met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268"/>
        <w:gridCol w:w="1134"/>
        <w:gridCol w:w="2268"/>
      </w:tblGrid>
      <w:tr w:rsidR="0085122B" w:rsidRPr="0085122B" w14:paraId="503B6DDB" w14:textId="77777777" w:rsidTr="00571700">
        <w:tc>
          <w:tcPr>
            <w:tcW w:w="2547" w:type="dxa"/>
          </w:tcPr>
          <w:p w14:paraId="51F0B7AF" w14:textId="14751451" w:rsidR="00654D6F" w:rsidRPr="0085122B" w:rsidRDefault="00654D6F" w:rsidP="00F20185">
            <w:pPr>
              <w:widowControl w:val="0"/>
              <w:rPr>
                <w:b/>
                <w:bCs/>
              </w:rPr>
            </w:pPr>
          </w:p>
        </w:tc>
        <w:tc>
          <w:tcPr>
            <w:tcW w:w="2268" w:type="dxa"/>
          </w:tcPr>
          <w:p w14:paraId="1AC38EA4" w14:textId="3C2AAF94" w:rsidR="00654D6F" w:rsidRPr="0085122B" w:rsidRDefault="00654D6F" w:rsidP="00F20185">
            <w:pPr>
              <w:widowControl w:val="0"/>
              <w:rPr>
                <w:b/>
                <w:bCs/>
              </w:rPr>
            </w:pPr>
            <w:r w:rsidRPr="0085122B">
              <w:rPr>
                <w:b/>
                <w:bCs/>
              </w:rPr>
              <w:t>Effect dose/concentration</w:t>
            </w:r>
          </w:p>
        </w:tc>
        <w:tc>
          <w:tcPr>
            <w:tcW w:w="1134" w:type="dxa"/>
          </w:tcPr>
          <w:p w14:paraId="5B43E9CA" w14:textId="77777777" w:rsidR="00654D6F" w:rsidRPr="0085122B" w:rsidRDefault="00654D6F" w:rsidP="00F20185">
            <w:pPr>
              <w:widowControl w:val="0"/>
              <w:rPr>
                <w:b/>
                <w:bCs/>
              </w:rPr>
            </w:pPr>
            <w:r w:rsidRPr="0085122B">
              <w:rPr>
                <w:b/>
                <w:bCs/>
              </w:rPr>
              <w:t>Species</w:t>
            </w:r>
          </w:p>
        </w:tc>
        <w:tc>
          <w:tcPr>
            <w:tcW w:w="2268" w:type="dxa"/>
          </w:tcPr>
          <w:p w14:paraId="576CDDC5" w14:textId="109B9795" w:rsidR="00654D6F" w:rsidRPr="0085122B" w:rsidRDefault="00654D6F" w:rsidP="00F20185">
            <w:pPr>
              <w:widowControl w:val="0"/>
              <w:rPr>
                <w:b/>
                <w:bCs/>
              </w:rPr>
            </w:pPr>
            <w:r w:rsidRPr="0085122B">
              <w:rPr>
                <w:b/>
                <w:bCs/>
              </w:rPr>
              <w:t>Method</w:t>
            </w:r>
          </w:p>
        </w:tc>
      </w:tr>
      <w:tr w:rsidR="0085122B" w:rsidRPr="0085122B" w14:paraId="4E861A84" w14:textId="77777777" w:rsidTr="00571700">
        <w:tc>
          <w:tcPr>
            <w:tcW w:w="2547" w:type="dxa"/>
          </w:tcPr>
          <w:p w14:paraId="4E5FAC99" w14:textId="0B92950C" w:rsidR="00654D6F" w:rsidRPr="0085122B" w:rsidRDefault="00654D6F" w:rsidP="00C47024">
            <w:pPr>
              <w:widowControl w:val="0"/>
            </w:pPr>
            <w:r w:rsidRPr="0085122B">
              <w:rPr>
                <w:b/>
                <w:bCs/>
              </w:rPr>
              <w:t>Acute oral toxicity</w:t>
            </w:r>
            <w:r w:rsidR="008C7ADA" w:rsidRPr="0085122B">
              <w:rPr>
                <w:b/>
                <w:bCs/>
              </w:rPr>
              <w:t xml:space="preserve"> </w:t>
            </w:r>
            <w:r w:rsidR="008C7ADA" w:rsidRPr="0085122B">
              <w:t>for ZnSO4 monohydrate</w:t>
            </w:r>
          </w:p>
          <w:p w14:paraId="0D720D91" w14:textId="60DEEB83" w:rsidR="008C7ADA" w:rsidRPr="0085122B" w:rsidRDefault="008C7ADA" w:rsidP="00C47024">
            <w:pPr>
              <w:widowControl w:val="0"/>
            </w:pPr>
            <w:r w:rsidRPr="0085122B">
              <w:t>ZnSO4 Hexahydrate</w:t>
            </w:r>
          </w:p>
          <w:p w14:paraId="12F25110" w14:textId="447BEA79" w:rsidR="008C7ADA" w:rsidRPr="0085122B" w:rsidRDefault="008C7ADA" w:rsidP="00C47024">
            <w:pPr>
              <w:widowControl w:val="0"/>
              <w:rPr>
                <w:b/>
                <w:bCs/>
              </w:rPr>
            </w:pPr>
            <w:r w:rsidRPr="0085122B">
              <w:t>ZnSO4 heptahydrate</w:t>
            </w:r>
          </w:p>
        </w:tc>
        <w:tc>
          <w:tcPr>
            <w:tcW w:w="2268" w:type="dxa"/>
          </w:tcPr>
          <w:p w14:paraId="594258E6" w14:textId="1A092C27" w:rsidR="00654D6F" w:rsidRPr="0085122B" w:rsidRDefault="00654D6F" w:rsidP="00137B86">
            <w:pPr>
              <w:widowControl w:val="0"/>
              <w:autoSpaceDE w:val="0"/>
              <w:autoSpaceDN w:val="0"/>
              <w:adjustRightInd w:val="0"/>
            </w:pPr>
            <w:r w:rsidRPr="0085122B">
              <w:t xml:space="preserve">LD50 </w:t>
            </w:r>
            <w:r w:rsidR="008C7ADA" w:rsidRPr="0085122B">
              <w:t xml:space="preserve">574 </w:t>
            </w:r>
            <w:r w:rsidRPr="0085122B">
              <w:t>mg/kg</w:t>
            </w:r>
            <w:r w:rsidR="001C2B2D" w:rsidRPr="0085122B">
              <w:t xml:space="preserve"> </w:t>
            </w:r>
            <w:proofErr w:type="spellStart"/>
            <w:r w:rsidR="001C2B2D" w:rsidRPr="0085122B">
              <w:t>bw</w:t>
            </w:r>
            <w:proofErr w:type="spellEnd"/>
          </w:p>
          <w:p w14:paraId="4335327E" w14:textId="3F19353F" w:rsidR="008C7ADA" w:rsidRPr="0085122B" w:rsidRDefault="008C7ADA" w:rsidP="008C7ADA">
            <w:pPr>
              <w:widowControl w:val="0"/>
              <w:autoSpaceDE w:val="0"/>
              <w:autoSpaceDN w:val="0"/>
              <w:adjustRightInd w:val="0"/>
            </w:pPr>
            <w:r w:rsidRPr="0085122B">
              <w:t xml:space="preserve">LD50 862 mg/kg </w:t>
            </w:r>
            <w:proofErr w:type="spellStart"/>
            <w:r w:rsidRPr="0085122B">
              <w:t>bw</w:t>
            </w:r>
            <w:proofErr w:type="spellEnd"/>
          </w:p>
          <w:p w14:paraId="6521767B" w14:textId="74BB9E22" w:rsidR="001919DD" w:rsidRPr="0085122B" w:rsidRDefault="008C7ADA" w:rsidP="00137B86">
            <w:pPr>
              <w:widowControl w:val="0"/>
              <w:autoSpaceDE w:val="0"/>
              <w:autoSpaceDN w:val="0"/>
              <w:adjustRightInd w:val="0"/>
            </w:pPr>
            <w:r w:rsidRPr="0085122B">
              <w:t xml:space="preserve">LD50 920 mg/kg </w:t>
            </w:r>
            <w:proofErr w:type="spellStart"/>
            <w:r w:rsidRPr="0085122B">
              <w:t>bw</w:t>
            </w:r>
            <w:proofErr w:type="spellEnd"/>
          </w:p>
        </w:tc>
        <w:tc>
          <w:tcPr>
            <w:tcW w:w="1134" w:type="dxa"/>
          </w:tcPr>
          <w:p w14:paraId="4FCB3402" w14:textId="79D29689" w:rsidR="00654D6F" w:rsidRPr="0085122B" w:rsidRDefault="00654D6F" w:rsidP="00C47024">
            <w:pPr>
              <w:widowControl w:val="0"/>
              <w:rPr>
                <w:bCs/>
              </w:rPr>
            </w:pPr>
            <w:r w:rsidRPr="0085122B">
              <w:rPr>
                <w:bCs/>
              </w:rPr>
              <w:t>Rat</w:t>
            </w:r>
          </w:p>
        </w:tc>
        <w:tc>
          <w:tcPr>
            <w:tcW w:w="2268" w:type="dxa"/>
          </w:tcPr>
          <w:p w14:paraId="41971D13" w14:textId="6B217FA9" w:rsidR="00654D6F" w:rsidRPr="0085122B" w:rsidRDefault="00654D6F" w:rsidP="00571700">
            <w:pPr>
              <w:widowControl w:val="0"/>
              <w:rPr>
                <w:bCs/>
              </w:rPr>
            </w:pPr>
            <w:r w:rsidRPr="0085122B">
              <w:rPr>
                <w:bCs/>
              </w:rPr>
              <w:t>OECD 401</w:t>
            </w:r>
            <w:r w:rsidR="00137B86" w:rsidRPr="0085122B">
              <w:rPr>
                <w:bCs/>
              </w:rPr>
              <w:t xml:space="preserve"> </w:t>
            </w:r>
            <w:r w:rsidR="00571700" w:rsidRPr="0085122B">
              <w:rPr>
                <w:bCs/>
              </w:rPr>
              <w:t xml:space="preserve">&amp; </w:t>
            </w:r>
            <w:r w:rsidRPr="0085122B">
              <w:rPr>
                <w:bCs/>
              </w:rPr>
              <w:t>OECD 423</w:t>
            </w:r>
          </w:p>
        </w:tc>
      </w:tr>
      <w:tr w:rsidR="0085122B" w:rsidRPr="0085122B" w14:paraId="5D55E3FB" w14:textId="77777777" w:rsidTr="00571700">
        <w:tc>
          <w:tcPr>
            <w:tcW w:w="2547" w:type="dxa"/>
          </w:tcPr>
          <w:p w14:paraId="09B4124C" w14:textId="17C84B63" w:rsidR="00B3748C" w:rsidRPr="0085122B" w:rsidRDefault="00B3748C" w:rsidP="00B3748C">
            <w:pPr>
              <w:widowControl w:val="0"/>
              <w:autoSpaceDE w:val="0"/>
              <w:autoSpaceDN w:val="0"/>
              <w:adjustRightInd w:val="0"/>
              <w:rPr>
                <w:b/>
                <w:bCs/>
                <w:highlight w:val="yellow"/>
              </w:rPr>
            </w:pPr>
            <w:r w:rsidRPr="0085122B">
              <w:rPr>
                <w:b/>
                <w:bCs/>
              </w:rPr>
              <w:t>Acute inhalation toxicity</w:t>
            </w:r>
            <w:r w:rsidRPr="0085122B">
              <w:t xml:space="preserve"> </w:t>
            </w:r>
          </w:p>
        </w:tc>
        <w:tc>
          <w:tcPr>
            <w:tcW w:w="2268" w:type="dxa"/>
          </w:tcPr>
          <w:p w14:paraId="5C2EA701" w14:textId="682F22EB" w:rsidR="00B3748C" w:rsidRPr="0085122B" w:rsidRDefault="00B3748C" w:rsidP="00B3748C">
            <w:pPr>
              <w:widowControl w:val="0"/>
              <w:rPr>
                <w:bCs/>
                <w:highlight w:val="yellow"/>
              </w:rPr>
            </w:pPr>
            <w:r w:rsidRPr="0085122B">
              <w:rPr>
                <w:bCs/>
              </w:rPr>
              <w:t>Low acute inhalation toxicity</w:t>
            </w:r>
          </w:p>
        </w:tc>
        <w:tc>
          <w:tcPr>
            <w:tcW w:w="1134" w:type="dxa"/>
          </w:tcPr>
          <w:p w14:paraId="04C9B074" w14:textId="667DB9C0" w:rsidR="00B3748C" w:rsidRPr="0085122B" w:rsidRDefault="00B3748C" w:rsidP="00B3748C">
            <w:pPr>
              <w:widowControl w:val="0"/>
              <w:rPr>
                <w:bCs/>
                <w:highlight w:val="yellow"/>
              </w:rPr>
            </w:pPr>
            <w:r w:rsidRPr="0085122B">
              <w:rPr>
                <w:bCs/>
              </w:rPr>
              <w:t>Rat, Hamster</w:t>
            </w:r>
          </w:p>
        </w:tc>
        <w:tc>
          <w:tcPr>
            <w:tcW w:w="2268" w:type="dxa"/>
          </w:tcPr>
          <w:p w14:paraId="4882F282" w14:textId="004BEDD8" w:rsidR="00B3748C" w:rsidRPr="0085122B" w:rsidRDefault="00B3748C" w:rsidP="00B3748C">
            <w:pPr>
              <w:widowControl w:val="0"/>
              <w:rPr>
                <w:bCs/>
                <w:highlight w:val="yellow"/>
              </w:rPr>
            </w:pPr>
            <w:r w:rsidRPr="0085122B">
              <w:rPr>
                <w:bCs/>
              </w:rPr>
              <w:t>No guideline followed (RA from ZnSO4 and ZnCl2)</w:t>
            </w:r>
          </w:p>
        </w:tc>
      </w:tr>
      <w:tr w:rsidR="00654D6F" w:rsidRPr="0085122B" w14:paraId="2F74AA3B" w14:textId="77777777" w:rsidTr="00571700">
        <w:tc>
          <w:tcPr>
            <w:tcW w:w="2547" w:type="dxa"/>
          </w:tcPr>
          <w:p w14:paraId="4317EFAC" w14:textId="15D7B391" w:rsidR="00654D6F" w:rsidRPr="0085122B" w:rsidRDefault="00654D6F" w:rsidP="00C47024">
            <w:pPr>
              <w:widowControl w:val="0"/>
              <w:rPr>
                <w:b/>
                <w:bCs/>
              </w:rPr>
            </w:pPr>
            <w:r w:rsidRPr="0085122B">
              <w:rPr>
                <w:b/>
                <w:bCs/>
              </w:rPr>
              <w:t>Acute dermal toxicity</w:t>
            </w:r>
          </w:p>
        </w:tc>
        <w:tc>
          <w:tcPr>
            <w:tcW w:w="2268" w:type="dxa"/>
          </w:tcPr>
          <w:p w14:paraId="08526B03" w14:textId="615868FE" w:rsidR="00654D6F" w:rsidRPr="0085122B" w:rsidRDefault="001C2B2D" w:rsidP="00C47024">
            <w:pPr>
              <w:widowControl w:val="0"/>
              <w:rPr>
                <w:bCs/>
              </w:rPr>
            </w:pPr>
            <w:r w:rsidRPr="0085122B">
              <w:t xml:space="preserve">LD50 &gt; </w:t>
            </w:r>
            <w:r w:rsidR="008C7ADA" w:rsidRPr="0085122B">
              <w:t xml:space="preserve">2,000 </w:t>
            </w:r>
            <w:r w:rsidR="00BF151E" w:rsidRPr="0085122B">
              <w:t xml:space="preserve">ZnSO4 </w:t>
            </w:r>
            <w:r w:rsidRPr="0085122B">
              <w:t xml:space="preserve">mg/kg </w:t>
            </w:r>
            <w:proofErr w:type="spellStart"/>
            <w:r w:rsidRPr="0085122B">
              <w:t>bw</w:t>
            </w:r>
            <w:proofErr w:type="spellEnd"/>
            <w:r w:rsidRPr="0085122B">
              <w:t>.</w:t>
            </w:r>
          </w:p>
        </w:tc>
        <w:tc>
          <w:tcPr>
            <w:tcW w:w="1134" w:type="dxa"/>
          </w:tcPr>
          <w:p w14:paraId="5CDFF72E" w14:textId="008028DB" w:rsidR="00654D6F" w:rsidRPr="0085122B" w:rsidRDefault="00571700" w:rsidP="00C47024">
            <w:pPr>
              <w:widowControl w:val="0"/>
              <w:rPr>
                <w:bCs/>
              </w:rPr>
            </w:pPr>
            <w:r w:rsidRPr="0085122B">
              <w:rPr>
                <w:bCs/>
              </w:rPr>
              <w:t>Rat</w:t>
            </w:r>
          </w:p>
        </w:tc>
        <w:tc>
          <w:tcPr>
            <w:tcW w:w="2268" w:type="dxa"/>
          </w:tcPr>
          <w:p w14:paraId="171A762E" w14:textId="1D5E6388" w:rsidR="00654D6F" w:rsidRPr="0085122B" w:rsidRDefault="00571700" w:rsidP="00C47024">
            <w:pPr>
              <w:widowControl w:val="0"/>
              <w:rPr>
                <w:bCs/>
              </w:rPr>
            </w:pPr>
            <w:r w:rsidRPr="0085122B">
              <w:rPr>
                <w:bCs/>
              </w:rPr>
              <w:t>OECD 402</w:t>
            </w:r>
            <w:r w:rsidR="0085122B" w:rsidRPr="0085122B">
              <w:rPr>
                <w:bCs/>
              </w:rPr>
              <w:t xml:space="preserve"> (RA from ZnSO4)</w:t>
            </w:r>
          </w:p>
        </w:tc>
      </w:tr>
    </w:tbl>
    <w:p w14:paraId="3B3313AC" w14:textId="77777777" w:rsidR="00F16C02" w:rsidRPr="0085122B" w:rsidRDefault="00F16C02" w:rsidP="002871EA"/>
    <w:p w14:paraId="5A6A022B" w14:textId="531811D6" w:rsidR="002871EA" w:rsidRPr="0085122B" w:rsidRDefault="00921976" w:rsidP="002871EA">
      <w:pPr>
        <w:rPr>
          <w:b/>
          <w:bCs/>
        </w:rPr>
      </w:pPr>
      <w:r w:rsidRPr="0085122B">
        <w:rPr>
          <w:b/>
          <w:bCs/>
        </w:rPr>
        <w:t xml:space="preserve">b) </w:t>
      </w:r>
      <w:r w:rsidR="009936F8" w:rsidRPr="0085122B">
        <w:rPr>
          <w:b/>
          <w:bCs/>
        </w:rPr>
        <w:t>Skin corrosion</w:t>
      </w:r>
      <w:r w:rsidRPr="0085122B">
        <w:rPr>
          <w:b/>
          <w:bCs/>
        </w:rPr>
        <w:t xml:space="preserve"> </w:t>
      </w:r>
      <w:r w:rsidR="002871EA" w:rsidRPr="0085122B">
        <w:rPr>
          <w:b/>
          <w:bCs/>
        </w:rPr>
        <w:t>/</w:t>
      </w:r>
      <w:r w:rsidR="0013574B" w:rsidRPr="0085122B">
        <w:rPr>
          <w:b/>
          <w:bCs/>
        </w:rPr>
        <w:t xml:space="preserve"> </w:t>
      </w:r>
      <w:r w:rsidRPr="0085122B">
        <w:rPr>
          <w:b/>
          <w:bCs/>
        </w:rPr>
        <w:t xml:space="preserve">irritation </w:t>
      </w:r>
      <w:r w:rsidR="0013574B" w:rsidRPr="0085122B">
        <w:rPr>
          <w:b/>
          <w:bCs/>
        </w:rPr>
        <w:t>- classification criteria not met</w:t>
      </w:r>
    </w:p>
    <w:tbl>
      <w:tblPr>
        <w:tblStyle w:val="Mkatabulky"/>
        <w:tblW w:w="0" w:type="auto"/>
        <w:tblLook w:val="04A0" w:firstRow="1" w:lastRow="0" w:firstColumn="1" w:lastColumn="0" w:noHBand="0" w:noVBand="1"/>
      </w:tblPr>
      <w:tblGrid>
        <w:gridCol w:w="3005"/>
        <w:gridCol w:w="3005"/>
        <w:gridCol w:w="3006"/>
      </w:tblGrid>
      <w:tr w:rsidR="0085122B" w:rsidRPr="0085122B" w14:paraId="5A5EA8ED" w14:textId="77777777" w:rsidTr="00A37D97">
        <w:tc>
          <w:tcPr>
            <w:tcW w:w="3005" w:type="dxa"/>
          </w:tcPr>
          <w:p w14:paraId="2E8C6B11" w14:textId="77777777" w:rsidR="00BF151E" w:rsidRPr="0085122B" w:rsidRDefault="00BF151E" w:rsidP="00A37D97">
            <w:r w:rsidRPr="0085122B">
              <w:t>Species</w:t>
            </w:r>
          </w:p>
        </w:tc>
        <w:tc>
          <w:tcPr>
            <w:tcW w:w="3005" w:type="dxa"/>
          </w:tcPr>
          <w:p w14:paraId="5BF43341" w14:textId="77777777" w:rsidR="00BF151E" w:rsidRPr="0085122B" w:rsidRDefault="00BF151E" w:rsidP="00A37D97">
            <w:r w:rsidRPr="0085122B">
              <w:t>Method</w:t>
            </w:r>
          </w:p>
        </w:tc>
        <w:tc>
          <w:tcPr>
            <w:tcW w:w="3006" w:type="dxa"/>
          </w:tcPr>
          <w:p w14:paraId="425F3AC6" w14:textId="77777777" w:rsidR="00BF151E" w:rsidRPr="0085122B" w:rsidRDefault="00BF151E" w:rsidP="00A37D97">
            <w:r w:rsidRPr="0085122B">
              <w:t>Result</w:t>
            </w:r>
          </w:p>
        </w:tc>
      </w:tr>
      <w:tr w:rsidR="00605094" w:rsidRPr="0085122B" w14:paraId="37A4E0C6" w14:textId="77777777" w:rsidTr="00A37D97">
        <w:tc>
          <w:tcPr>
            <w:tcW w:w="3005" w:type="dxa"/>
          </w:tcPr>
          <w:p w14:paraId="7C83749F" w14:textId="77777777" w:rsidR="00BF151E" w:rsidRPr="0085122B" w:rsidRDefault="00BF151E" w:rsidP="00A37D97">
            <w:r w:rsidRPr="0085122B">
              <w:t>New Zealand white rabbits</w:t>
            </w:r>
          </w:p>
        </w:tc>
        <w:tc>
          <w:tcPr>
            <w:tcW w:w="3005" w:type="dxa"/>
          </w:tcPr>
          <w:p w14:paraId="5A1DE083" w14:textId="4FE16E42" w:rsidR="00BF151E" w:rsidRPr="0085122B" w:rsidRDefault="00BF151E" w:rsidP="00A37D97">
            <w:r w:rsidRPr="0085122B">
              <w:t>OECD 404</w:t>
            </w:r>
          </w:p>
        </w:tc>
        <w:tc>
          <w:tcPr>
            <w:tcW w:w="3006" w:type="dxa"/>
          </w:tcPr>
          <w:p w14:paraId="473AD908" w14:textId="465E69EA" w:rsidR="00BF151E" w:rsidRPr="0085122B" w:rsidRDefault="00BF151E" w:rsidP="00A37D97">
            <w:r w:rsidRPr="0085122B">
              <w:t>not irritant</w:t>
            </w:r>
          </w:p>
        </w:tc>
      </w:tr>
    </w:tbl>
    <w:p w14:paraId="611F5EB6" w14:textId="77777777" w:rsidR="00BF151E" w:rsidRPr="0085122B" w:rsidRDefault="00BF151E" w:rsidP="002871EA">
      <w:pPr>
        <w:rPr>
          <w:b/>
          <w:bCs/>
        </w:rPr>
      </w:pPr>
    </w:p>
    <w:p w14:paraId="3852AB6C" w14:textId="2F12038F" w:rsidR="002871EA" w:rsidRPr="0085122B" w:rsidRDefault="00921976" w:rsidP="002871EA">
      <w:pPr>
        <w:rPr>
          <w:b/>
          <w:bCs/>
        </w:rPr>
      </w:pPr>
      <w:r w:rsidRPr="0085122B">
        <w:rPr>
          <w:b/>
          <w:bCs/>
        </w:rPr>
        <w:t>c) Serious e</w:t>
      </w:r>
      <w:r w:rsidR="002871EA" w:rsidRPr="0085122B">
        <w:rPr>
          <w:b/>
          <w:bCs/>
        </w:rPr>
        <w:t>ye</w:t>
      </w:r>
      <w:r w:rsidRPr="0085122B">
        <w:rPr>
          <w:b/>
          <w:bCs/>
        </w:rPr>
        <w:t xml:space="preserve"> damage/</w:t>
      </w:r>
      <w:r w:rsidR="002871EA" w:rsidRPr="0085122B">
        <w:rPr>
          <w:b/>
          <w:bCs/>
        </w:rPr>
        <w:t>irritation</w:t>
      </w:r>
      <w:r w:rsidR="0013574B" w:rsidRPr="0085122B">
        <w:rPr>
          <w:b/>
          <w:bCs/>
        </w:rPr>
        <w:t xml:space="preserve"> </w:t>
      </w:r>
      <w:r w:rsidR="00BF151E" w:rsidRPr="0085122B">
        <w:rPr>
          <w:b/>
          <w:bCs/>
        </w:rPr>
        <w:t>–</w:t>
      </w:r>
      <w:r w:rsidR="0013574B" w:rsidRPr="0085122B">
        <w:rPr>
          <w:b/>
          <w:bCs/>
        </w:rPr>
        <w:t xml:space="preserve"> </w:t>
      </w:r>
      <w:r w:rsidR="00BF151E" w:rsidRPr="0085122B">
        <w:rPr>
          <w:b/>
          <w:bCs/>
        </w:rPr>
        <w:t>Category 1 irritant</w:t>
      </w:r>
    </w:p>
    <w:tbl>
      <w:tblPr>
        <w:tblStyle w:val="Mkatabulky"/>
        <w:tblW w:w="0" w:type="auto"/>
        <w:tblLook w:val="04A0" w:firstRow="1" w:lastRow="0" w:firstColumn="1" w:lastColumn="0" w:noHBand="0" w:noVBand="1"/>
      </w:tblPr>
      <w:tblGrid>
        <w:gridCol w:w="3005"/>
        <w:gridCol w:w="3005"/>
        <w:gridCol w:w="3006"/>
      </w:tblGrid>
      <w:tr w:rsidR="0085122B" w:rsidRPr="0085122B" w14:paraId="29A763C0" w14:textId="77777777" w:rsidTr="006E2A8B">
        <w:tc>
          <w:tcPr>
            <w:tcW w:w="3005" w:type="dxa"/>
          </w:tcPr>
          <w:p w14:paraId="5FE0BB49" w14:textId="7EDAB1D3" w:rsidR="006E2A8B" w:rsidRPr="0085122B" w:rsidRDefault="006E2A8B" w:rsidP="002871EA">
            <w:r w:rsidRPr="0085122B">
              <w:t>Species</w:t>
            </w:r>
          </w:p>
        </w:tc>
        <w:tc>
          <w:tcPr>
            <w:tcW w:w="3005" w:type="dxa"/>
          </w:tcPr>
          <w:p w14:paraId="4B7DD921" w14:textId="75FBDE3E" w:rsidR="006E2A8B" w:rsidRPr="0085122B" w:rsidRDefault="006E2A8B" w:rsidP="002871EA">
            <w:r w:rsidRPr="0085122B">
              <w:t>Method</w:t>
            </w:r>
          </w:p>
        </w:tc>
        <w:tc>
          <w:tcPr>
            <w:tcW w:w="3006" w:type="dxa"/>
          </w:tcPr>
          <w:p w14:paraId="35FF9943" w14:textId="2C4B5061" w:rsidR="006E2A8B" w:rsidRPr="0085122B" w:rsidRDefault="006E2A8B" w:rsidP="002871EA">
            <w:r w:rsidRPr="0085122B">
              <w:t>Result</w:t>
            </w:r>
          </w:p>
        </w:tc>
      </w:tr>
      <w:tr w:rsidR="00605094" w:rsidRPr="0085122B" w14:paraId="28DF23B9" w14:textId="77777777" w:rsidTr="006E2A8B">
        <w:tc>
          <w:tcPr>
            <w:tcW w:w="3005" w:type="dxa"/>
          </w:tcPr>
          <w:p w14:paraId="15AA905F" w14:textId="1DE67FE5" w:rsidR="006E2A8B" w:rsidRPr="0085122B" w:rsidRDefault="006E2A8B" w:rsidP="002871EA">
            <w:r w:rsidRPr="0085122B">
              <w:t>New Zealand white rabbits</w:t>
            </w:r>
          </w:p>
        </w:tc>
        <w:tc>
          <w:tcPr>
            <w:tcW w:w="3005" w:type="dxa"/>
          </w:tcPr>
          <w:p w14:paraId="4B715B43" w14:textId="66892084" w:rsidR="006E2A8B" w:rsidRPr="0085122B" w:rsidRDefault="006E2A8B" w:rsidP="002871EA">
            <w:r w:rsidRPr="0085122B">
              <w:t>OECD 40</w:t>
            </w:r>
            <w:r w:rsidR="008C7ADA" w:rsidRPr="0085122B">
              <w:t>5</w:t>
            </w:r>
          </w:p>
        </w:tc>
        <w:tc>
          <w:tcPr>
            <w:tcW w:w="3006" w:type="dxa"/>
          </w:tcPr>
          <w:p w14:paraId="56C6EF82" w14:textId="2BC67815" w:rsidR="006E2A8B" w:rsidRPr="0085122B" w:rsidRDefault="00BF151E" w:rsidP="002871EA">
            <w:r w:rsidRPr="0085122B">
              <w:t>Category 1</w:t>
            </w:r>
            <w:r w:rsidR="006E2A8B" w:rsidRPr="0085122B">
              <w:t xml:space="preserve"> irritant</w:t>
            </w:r>
          </w:p>
        </w:tc>
      </w:tr>
    </w:tbl>
    <w:p w14:paraId="3EE3A789" w14:textId="77777777" w:rsidR="006E2A8B" w:rsidRPr="0085122B" w:rsidRDefault="006E2A8B" w:rsidP="002871EA"/>
    <w:p w14:paraId="549DBBDA" w14:textId="4F16D7CB" w:rsidR="002871EA" w:rsidRPr="0085122B" w:rsidRDefault="00921976" w:rsidP="002871EA">
      <w:pPr>
        <w:rPr>
          <w:b/>
          <w:bCs/>
        </w:rPr>
      </w:pPr>
      <w:r w:rsidRPr="0085122B">
        <w:rPr>
          <w:b/>
          <w:bCs/>
        </w:rPr>
        <w:t xml:space="preserve">d) </w:t>
      </w:r>
      <w:r w:rsidR="002871EA" w:rsidRPr="0085122B">
        <w:rPr>
          <w:b/>
          <w:bCs/>
        </w:rPr>
        <w:t>Skin Sensitisation</w:t>
      </w:r>
      <w:r w:rsidR="0013574B" w:rsidRPr="0085122B">
        <w:rPr>
          <w:b/>
          <w:bCs/>
        </w:rPr>
        <w:t xml:space="preserve"> - classification criteria not met</w:t>
      </w:r>
    </w:p>
    <w:tbl>
      <w:tblPr>
        <w:tblStyle w:val="Mkatabulky"/>
        <w:tblW w:w="0" w:type="auto"/>
        <w:tblLook w:val="04A0" w:firstRow="1" w:lastRow="0" w:firstColumn="1" w:lastColumn="0" w:noHBand="0" w:noVBand="1"/>
      </w:tblPr>
      <w:tblGrid>
        <w:gridCol w:w="3005"/>
        <w:gridCol w:w="3005"/>
        <w:gridCol w:w="3006"/>
      </w:tblGrid>
      <w:tr w:rsidR="0085122B" w:rsidRPr="0085122B" w14:paraId="0842DC56" w14:textId="77777777" w:rsidTr="00CE4221">
        <w:tc>
          <w:tcPr>
            <w:tcW w:w="3005" w:type="dxa"/>
          </w:tcPr>
          <w:p w14:paraId="662C1B23" w14:textId="77777777" w:rsidR="006E2A8B" w:rsidRPr="0085122B" w:rsidRDefault="006E2A8B" w:rsidP="00CE4221">
            <w:r w:rsidRPr="0085122B">
              <w:t>Species</w:t>
            </w:r>
          </w:p>
        </w:tc>
        <w:tc>
          <w:tcPr>
            <w:tcW w:w="3005" w:type="dxa"/>
          </w:tcPr>
          <w:p w14:paraId="451A024E" w14:textId="77777777" w:rsidR="006E2A8B" w:rsidRPr="0085122B" w:rsidRDefault="006E2A8B" w:rsidP="00CE4221">
            <w:r w:rsidRPr="0085122B">
              <w:t>Method</w:t>
            </w:r>
          </w:p>
        </w:tc>
        <w:tc>
          <w:tcPr>
            <w:tcW w:w="3006" w:type="dxa"/>
          </w:tcPr>
          <w:p w14:paraId="11D73617" w14:textId="77777777" w:rsidR="006E2A8B" w:rsidRPr="0085122B" w:rsidRDefault="006E2A8B" w:rsidP="00CE4221">
            <w:r w:rsidRPr="0085122B">
              <w:t>Result</w:t>
            </w:r>
          </w:p>
        </w:tc>
      </w:tr>
      <w:tr w:rsidR="006E2A8B" w:rsidRPr="0085122B" w14:paraId="1033FC42" w14:textId="77777777" w:rsidTr="00CE4221">
        <w:tc>
          <w:tcPr>
            <w:tcW w:w="3005" w:type="dxa"/>
          </w:tcPr>
          <w:p w14:paraId="080B89C4" w14:textId="6AD51519" w:rsidR="006E2A8B" w:rsidRPr="0085122B" w:rsidRDefault="006E2A8B" w:rsidP="00CE4221">
            <w:r w:rsidRPr="0085122B">
              <w:t>Guinea pigs</w:t>
            </w:r>
          </w:p>
        </w:tc>
        <w:tc>
          <w:tcPr>
            <w:tcW w:w="3005" w:type="dxa"/>
          </w:tcPr>
          <w:p w14:paraId="3DB0D25C" w14:textId="2DE06A10" w:rsidR="006E2A8B" w:rsidRPr="0085122B" w:rsidRDefault="006E2A8B" w:rsidP="00CE4221">
            <w:r w:rsidRPr="0085122B">
              <w:t>OECD 406</w:t>
            </w:r>
          </w:p>
        </w:tc>
        <w:tc>
          <w:tcPr>
            <w:tcW w:w="3006" w:type="dxa"/>
          </w:tcPr>
          <w:p w14:paraId="4382E911" w14:textId="10100321" w:rsidR="006E2A8B" w:rsidRPr="0085122B" w:rsidRDefault="006E2A8B" w:rsidP="00CE4221">
            <w:r w:rsidRPr="0085122B">
              <w:t>Not sensitizing</w:t>
            </w:r>
          </w:p>
        </w:tc>
      </w:tr>
    </w:tbl>
    <w:p w14:paraId="6143F3B2" w14:textId="77777777" w:rsidR="006E2A8B" w:rsidRPr="0085122B" w:rsidRDefault="006E2A8B" w:rsidP="0013574B">
      <w:pPr>
        <w:rPr>
          <w:rFonts w:eastAsia="Calibri"/>
          <w:bCs/>
        </w:rPr>
      </w:pPr>
    </w:p>
    <w:p w14:paraId="20CFEC6D" w14:textId="1A71096D" w:rsidR="0013574B" w:rsidRPr="0085122B" w:rsidRDefault="00921976" w:rsidP="0013574B">
      <w:pPr>
        <w:rPr>
          <w:b/>
          <w:bCs/>
        </w:rPr>
      </w:pPr>
      <w:r w:rsidRPr="0085122B">
        <w:rPr>
          <w:b/>
          <w:bCs/>
        </w:rPr>
        <w:t xml:space="preserve">e) </w:t>
      </w:r>
      <w:r w:rsidR="000A6E4E" w:rsidRPr="0085122B">
        <w:rPr>
          <w:b/>
          <w:bCs/>
        </w:rPr>
        <w:t>Germ cell mutagenicity – classification criteria not met</w:t>
      </w:r>
    </w:p>
    <w:p w14:paraId="43A58677" w14:textId="768EBAD2" w:rsidR="000A6E4E" w:rsidRPr="0085122B" w:rsidRDefault="000A6E4E" w:rsidP="000A6E4E">
      <w:r w:rsidRPr="0085122B">
        <w:t xml:space="preserve">Based on the weight of the evidence from the existing in vitro and in vivo genotoxicity assays available, it is concluded that the zinc category substances do not have biologically relevant genotoxic activity. Consequently, </w:t>
      </w:r>
      <w:r w:rsidRPr="0085122B">
        <w:rPr>
          <w:u w:val="single"/>
        </w:rPr>
        <w:t>no classification for germ cell mutagenicity is applicable</w:t>
      </w:r>
      <w:r w:rsidRPr="0085122B">
        <w:t>.</w:t>
      </w:r>
    </w:p>
    <w:p w14:paraId="7E58840D" w14:textId="491D0AAF" w:rsidR="0080380A" w:rsidRPr="0085122B" w:rsidRDefault="000A6E4E" w:rsidP="000A6E4E">
      <w:r w:rsidRPr="0085122B">
        <w:t>This conclusion is in line with those achieved by other regulatory reviews of the genotoxicity of zinc compounds (WHO, 2001; SCF, 2003; EU RAR, 2004, MAK, 2009). Hence, no classification and labelling for mutagenicity is required.</w:t>
      </w:r>
    </w:p>
    <w:p w14:paraId="296DF125" w14:textId="3BC48CC0" w:rsidR="000A6E4E" w:rsidRPr="0085122B" w:rsidRDefault="00921976" w:rsidP="000A6E4E">
      <w:r w:rsidRPr="0085122B">
        <w:rPr>
          <w:b/>
          <w:bCs/>
        </w:rPr>
        <w:t xml:space="preserve">f) </w:t>
      </w:r>
      <w:r w:rsidR="000A6E4E" w:rsidRPr="0085122B">
        <w:rPr>
          <w:b/>
          <w:bCs/>
        </w:rPr>
        <w:t>Carcinogenicity</w:t>
      </w:r>
    </w:p>
    <w:p w14:paraId="39D8BA0A" w14:textId="4524F324" w:rsidR="000A6E4E" w:rsidRPr="0085122B" w:rsidRDefault="000A6E4E" w:rsidP="000A6E4E">
      <w:r w:rsidRPr="0085122B">
        <w:lastRenderedPageBreak/>
        <w:t>No adequate experimental animal studies are available to evaluate the carcinogenicity of zinc compounds in humans.</w:t>
      </w:r>
    </w:p>
    <w:p w14:paraId="35908B03" w14:textId="411D93B2" w:rsidR="00837769" w:rsidRPr="0085122B" w:rsidRDefault="00921976" w:rsidP="000A6E4E">
      <w:pPr>
        <w:rPr>
          <w:b/>
          <w:bCs/>
        </w:rPr>
      </w:pPr>
      <w:r w:rsidRPr="0085122B">
        <w:rPr>
          <w:b/>
          <w:bCs/>
        </w:rPr>
        <w:t xml:space="preserve">g) </w:t>
      </w:r>
      <w:r w:rsidR="00837769" w:rsidRPr="0085122B">
        <w:rPr>
          <w:b/>
          <w:bCs/>
        </w:rPr>
        <w:t>Reproductive toxicity – classification criteria not met</w:t>
      </w:r>
    </w:p>
    <w:p w14:paraId="28EB5109" w14:textId="5578C224" w:rsidR="00921976" w:rsidRPr="0085122B" w:rsidRDefault="00837769" w:rsidP="00921976">
      <w:pPr>
        <w:rPr>
          <w:b/>
          <w:bCs/>
        </w:rPr>
      </w:pPr>
      <w:r w:rsidRPr="0085122B">
        <w:t xml:space="preserve">Neither the impairment of fertility nor the developmental toxicity of the zinc category substances </w:t>
      </w:r>
      <w:proofErr w:type="gramStart"/>
      <w:r w:rsidR="00BA779E" w:rsidRPr="0085122B">
        <w:t>are</w:t>
      </w:r>
      <w:proofErr w:type="gramEnd"/>
      <w:r w:rsidRPr="0085122B">
        <w:t xml:space="preserve"> considered endpoints of concern for humans. Based on the available information in experimental animals as well as in humans, there is no reason to classify any of the zinc category substances for reproductive toxicity in accordance with regulation (EC) 1272/2008.</w:t>
      </w:r>
      <w:r w:rsidR="00921976" w:rsidRPr="0085122B">
        <w:rPr>
          <w:b/>
          <w:bCs/>
        </w:rPr>
        <w:t xml:space="preserve"> </w:t>
      </w:r>
    </w:p>
    <w:p w14:paraId="730993B6" w14:textId="37169B87" w:rsidR="00921976" w:rsidRPr="0085122B" w:rsidRDefault="00921976" w:rsidP="00921976">
      <w:pPr>
        <w:rPr>
          <w:b/>
          <w:bCs/>
        </w:rPr>
      </w:pPr>
      <w:r w:rsidRPr="0085122B">
        <w:rPr>
          <w:b/>
          <w:bCs/>
        </w:rPr>
        <w:t>h) Specific Target Organ Toxicity – STOT-single exposure</w:t>
      </w:r>
    </w:p>
    <w:p w14:paraId="79594D2D" w14:textId="6E317FC6" w:rsidR="00F86771" w:rsidRPr="0085122B" w:rsidRDefault="00F86771" w:rsidP="00921976">
      <w:r w:rsidRPr="0085122B">
        <w:t>No data available – not classifiable due to data lacking</w:t>
      </w:r>
    </w:p>
    <w:p w14:paraId="0DD20328" w14:textId="0F5EBC06" w:rsidR="00921976" w:rsidRPr="0085122B" w:rsidRDefault="00921976" w:rsidP="00921976">
      <w:pPr>
        <w:rPr>
          <w:b/>
          <w:bCs/>
        </w:rPr>
      </w:pPr>
      <w:proofErr w:type="spellStart"/>
      <w:r w:rsidRPr="0085122B">
        <w:rPr>
          <w:b/>
          <w:bCs/>
        </w:rPr>
        <w:t>i</w:t>
      </w:r>
      <w:proofErr w:type="spellEnd"/>
      <w:r w:rsidRPr="0085122B">
        <w:rPr>
          <w:b/>
          <w:bCs/>
        </w:rPr>
        <w:t>) Specific Target Organ Toxicity- STOT-repeated exposure</w:t>
      </w:r>
      <w:r w:rsidR="005D1CD4" w:rsidRPr="0085122B">
        <w:rPr>
          <w:b/>
          <w:bCs/>
        </w:rPr>
        <w:t xml:space="preserve">- </w:t>
      </w:r>
      <w:r w:rsidRPr="0085122B">
        <w:rPr>
          <w:b/>
          <w:bCs/>
        </w:rPr>
        <w:t>Animal data – classification criteria not met</w:t>
      </w:r>
    </w:p>
    <w:p w14:paraId="2E6DDAF1" w14:textId="77777777" w:rsidR="00BF151E" w:rsidRPr="0085122B" w:rsidRDefault="00BF151E" w:rsidP="00BF151E">
      <w:pPr>
        <w:rPr>
          <w:rFonts w:eastAsia="Calibri" w:cstheme="minorHAnsi"/>
          <w:b/>
          <w:bCs/>
        </w:rPr>
      </w:pPr>
      <w:r w:rsidRPr="0085122B">
        <w:rPr>
          <w:rFonts w:eastAsia="Calibri" w:cstheme="minorHAnsi"/>
          <w:bCs/>
        </w:rPr>
        <w:t>No animal or human sufficient evidence for specific target organ toxicity (repeated oral/inhalation exposure). I</w:t>
      </w:r>
      <w:r w:rsidRPr="0085122B">
        <w:rPr>
          <w:rFonts w:cstheme="minorHAnsi"/>
        </w:rPr>
        <w:t>n accordance with the criteria of regulation (EC) 1272/2008, none of the zinc category substances is classified for Specific target organ toxicity by repeated exposure (STOT-RE).</w:t>
      </w:r>
    </w:p>
    <w:p w14:paraId="7777448F" w14:textId="33AEC927" w:rsidR="00DB4D73" w:rsidRPr="0085122B" w:rsidRDefault="00DB4D73" w:rsidP="00921976">
      <w:r w:rsidRPr="0085122B">
        <w:rPr>
          <w:b/>
          <w:bCs/>
        </w:rPr>
        <w:t>j) Aspiration hazard</w:t>
      </w:r>
    </w:p>
    <w:p w14:paraId="5367BA01" w14:textId="26E69A89" w:rsidR="00DB4D73" w:rsidRPr="0085122B" w:rsidRDefault="00DB4D73" w:rsidP="00921976">
      <w:r w:rsidRPr="0085122B">
        <w:t>No data available – not classifiable due to data lacking</w:t>
      </w:r>
    </w:p>
    <w:p w14:paraId="433A1942" w14:textId="77777777" w:rsidR="001E7877" w:rsidRPr="0085122B" w:rsidRDefault="001E7877" w:rsidP="001E7877">
      <w:r w:rsidRPr="0085122B">
        <w:t>11.2 Information on other hazards</w:t>
      </w:r>
    </w:p>
    <w:p w14:paraId="23F67AD5" w14:textId="77777777" w:rsidR="00F72FD8" w:rsidRPr="0085122B" w:rsidRDefault="001E7877" w:rsidP="00F72FD8">
      <w:r w:rsidRPr="0085122B">
        <w:t>11.2.1. Endocrine disrupting properties: Substance is not classified as an endocrine disruptor</w:t>
      </w:r>
      <w:r w:rsidR="004D758A" w:rsidRPr="0085122B">
        <w:t xml:space="preserve">. </w:t>
      </w:r>
      <w:r w:rsidR="00F72FD8" w:rsidRPr="0085122B">
        <w:t>Zinc is essential and has no known endocrine disruption properties.</w:t>
      </w:r>
    </w:p>
    <w:p w14:paraId="5E8007B2" w14:textId="70B41805" w:rsidR="00BF151E" w:rsidRPr="0085122B" w:rsidRDefault="00BF151E" w:rsidP="000A6E4E"/>
    <w:p w14:paraId="617EF9DB" w14:textId="77777777" w:rsidR="00BF151E" w:rsidRPr="0085122B" w:rsidRDefault="00BF151E" w:rsidP="00BF151E">
      <w:pPr>
        <w:spacing w:line="276" w:lineRule="auto"/>
        <w:rPr>
          <w:b/>
          <w:bCs/>
        </w:rPr>
      </w:pPr>
      <w:r w:rsidRPr="0085122B">
        <w:rPr>
          <w:b/>
          <w:bCs/>
        </w:rPr>
        <w:t>Section 12: Ecological Information</w:t>
      </w:r>
    </w:p>
    <w:p w14:paraId="5F443D2B" w14:textId="77777777" w:rsidR="00BF151E" w:rsidRPr="0085122B" w:rsidRDefault="00BF151E" w:rsidP="00BF151E">
      <w:pPr>
        <w:spacing w:line="276" w:lineRule="auto"/>
      </w:pPr>
      <w:r w:rsidRPr="0085122B">
        <w:t>For the zinc substances, Ecotoxicity Reference Values (ERVs) are based on the soluble ion, Zn</w:t>
      </w:r>
      <w:r w:rsidRPr="0085122B">
        <w:rPr>
          <w:vertAlign w:val="superscript"/>
        </w:rPr>
        <w:t>2+</w:t>
      </w:r>
      <w:r w:rsidRPr="0085122B">
        <w:t>, and are determined from the extensive datasets on acute and chronic ecotoxicity testing of soluble zinc salts.</w:t>
      </w:r>
    </w:p>
    <w:p w14:paraId="57EB8910" w14:textId="77777777" w:rsidR="00BF151E" w:rsidRPr="0085122B" w:rsidRDefault="00BF151E" w:rsidP="00BF151E">
      <w:pPr>
        <w:spacing w:line="276" w:lineRule="auto"/>
        <w:rPr>
          <w:rFonts w:cstheme="minorHAnsi"/>
          <w:u w:val="single"/>
        </w:rPr>
      </w:pPr>
      <w:r w:rsidRPr="0085122B">
        <w:rPr>
          <w:rFonts w:cstheme="minorHAnsi"/>
          <w:u w:val="single"/>
        </w:rPr>
        <w:t>12.1. Toxicity</w:t>
      </w:r>
    </w:p>
    <w:p w14:paraId="01F620FB" w14:textId="77777777" w:rsidR="00BF151E" w:rsidRPr="0085122B" w:rsidRDefault="00BF151E" w:rsidP="00BF151E">
      <w:pPr>
        <w:spacing w:line="276" w:lineRule="auto"/>
        <w:rPr>
          <w:rFonts w:cstheme="minorHAnsi"/>
          <w:i/>
        </w:rPr>
      </w:pPr>
      <w:r w:rsidRPr="0085122B">
        <w:rPr>
          <w:rFonts w:cstheme="minorHAnsi"/>
          <w:i/>
        </w:rPr>
        <w:t>a) Aquatic toxicity</w:t>
      </w:r>
    </w:p>
    <w:p w14:paraId="5A5BDB74" w14:textId="77777777" w:rsidR="00BF151E" w:rsidRPr="0085122B" w:rsidRDefault="00BF151E" w:rsidP="00BF151E">
      <w:pPr>
        <w:spacing w:line="276" w:lineRule="auto"/>
        <w:jc w:val="both"/>
        <w:rPr>
          <w:rFonts w:cstheme="minorHAnsi"/>
          <w:bCs/>
          <w:lang w:eastAsia="en-GB"/>
        </w:rPr>
      </w:pPr>
      <w:r w:rsidRPr="0085122B">
        <w:rPr>
          <w:rFonts w:cstheme="minorHAnsi"/>
          <w:bCs/>
          <w:lang w:eastAsia="en-GB"/>
        </w:rPr>
        <w:t xml:space="preserve">The available high-quality data were normalized towards two sets of </w:t>
      </w:r>
      <w:proofErr w:type="spellStart"/>
      <w:r w:rsidRPr="0085122B">
        <w:rPr>
          <w:rFonts w:cstheme="minorHAnsi"/>
          <w:bCs/>
          <w:lang w:eastAsia="en-GB"/>
        </w:rPr>
        <w:t>physico</w:t>
      </w:r>
      <w:proofErr w:type="spellEnd"/>
      <w:r w:rsidRPr="0085122B">
        <w:rPr>
          <w:rFonts w:cstheme="minorHAnsi"/>
          <w:bCs/>
          <w:lang w:eastAsia="en-GB"/>
        </w:rPr>
        <w:t xml:space="preserve">-chemical conditions, reflecting the required range of </w:t>
      </w:r>
      <w:proofErr w:type="spellStart"/>
      <w:r w:rsidRPr="0085122B">
        <w:rPr>
          <w:rFonts w:cstheme="minorHAnsi"/>
          <w:bCs/>
          <w:lang w:eastAsia="en-GB"/>
        </w:rPr>
        <w:t>pH.</w:t>
      </w:r>
      <w:proofErr w:type="spellEnd"/>
      <w:r w:rsidRPr="0085122B">
        <w:rPr>
          <w:rFonts w:cstheme="minorHAnsi"/>
          <w:bCs/>
          <w:lang w:eastAsia="en-GB"/>
        </w:rPr>
        <w:t xml:space="preserve"> Such normalization is possible because for zinc, well-established bioavailability models (so called “Biotic Ligand Models” or BLMs) exist for algae, invertebrates, and fish, that enable the prediction of </w:t>
      </w:r>
      <w:r w:rsidRPr="0085122B">
        <w:rPr>
          <w:rFonts w:cstheme="minorHAnsi"/>
          <w:b/>
          <w:lang w:eastAsia="en-GB"/>
        </w:rPr>
        <w:t>acute</w:t>
      </w:r>
      <w:r w:rsidRPr="0085122B">
        <w:rPr>
          <w:rFonts w:cstheme="minorHAnsi"/>
          <w:bCs/>
          <w:lang w:eastAsia="en-GB"/>
        </w:rPr>
        <w:t xml:space="preserve"> and </w:t>
      </w:r>
      <w:r w:rsidRPr="0085122B">
        <w:rPr>
          <w:rFonts w:cstheme="minorHAnsi"/>
          <w:b/>
          <w:lang w:eastAsia="en-GB"/>
        </w:rPr>
        <w:t>chronic</w:t>
      </w:r>
      <w:r w:rsidRPr="0085122B">
        <w:rPr>
          <w:rFonts w:cstheme="minorHAnsi"/>
          <w:bCs/>
          <w:lang w:eastAsia="en-GB"/>
        </w:rPr>
        <w:t xml:space="preserve"> zinc ecotoxicity as a function of physicochemical test conditions. The Acute aquatic toxicity database on zinc contains data on 59 species (5 algae, 29 invertebrates, 21 fish species, 3 amphibians and 1 aquatic plant). The chronic aquatic toxicity database on zinc contains high quality data on 41 species (17 taxonomic groups).</w:t>
      </w:r>
    </w:p>
    <w:p w14:paraId="10FED9AC" w14:textId="77777777" w:rsidR="00BF151E" w:rsidRPr="0085122B" w:rsidRDefault="00BF151E" w:rsidP="00BF151E">
      <w:pPr>
        <w:spacing w:after="0" w:line="240" w:lineRule="auto"/>
        <w:jc w:val="both"/>
        <w:rPr>
          <w:rFonts w:cstheme="minorHAnsi"/>
          <w:bCs/>
          <w:lang w:eastAsia="en-GB"/>
        </w:rPr>
      </w:pPr>
      <w:r w:rsidRPr="0085122B">
        <w:rPr>
          <w:rFonts w:cstheme="minorHAnsi"/>
          <w:bCs/>
          <w:lang w:eastAsia="en-GB"/>
        </w:rPr>
        <w:t>Zinc Ecotoxicity Reference Values for aquatic toxicity</w:t>
      </w:r>
    </w:p>
    <w:tbl>
      <w:tblPr>
        <w:tblStyle w:val="Mkatabulky"/>
        <w:tblW w:w="0" w:type="auto"/>
        <w:jc w:val="center"/>
        <w:tblLook w:val="04A0" w:firstRow="1" w:lastRow="0" w:firstColumn="1" w:lastColumn="0" w:noHBand="0" w:noVBand="1"/>
      </w:tblPr>
      <w:tblGrid>
        <w:gridCol w:w="1187"/>
        <w:gridCol w:w="1315"/>
        <w:gridCol w:w="895"/>
        <w:gridCol w:w="2552"/>
        <w:gridCol w:w="3067"/>
      </w:tblGrid>
      <w:tr w:rsidR="0085122B" w:rsidRPr="0085122B" w14:paraId="608D2562" w14:textId="77777777" w:rsidTr="00BF151E">
        <w:trPr>
          <w:jc w:val="center"/>
        </w:trPr>
        <w:tc>
          <w:tcPr>
            <w:tcW w:w="1187" w:type="dxa"/>
            <w:tcBorders>
              <w:top w:val="single" w:sz="4" w:space="0" w:color="auto"/>
              <w:left w:val="single" w:sz="4" w:space="0" w:color="auto"/>
              <w:bottom w:val="single" w:sz="4" w:space="0" w:color="auto"/>
              <w:right w:val="single" w:sz="4" w:space="0" w:color="auto"/>
            </w:tcBorders>
          </w:tcPr>
          <w:p w14:paraId="1BF14E83" w14:textId="77777777" w:rsidR="00BF151E" w:rsidRPr="0085122B" w:rsidRDefault="00BF151E">
            <w:pPr>
              <w:jc w:val="center"/>
            </w:pPr>
          </w:p>
        </w:tc>
        <w:tc>
          <w:tcPr>
            <w:tcW w:w="1315" w:type="dxa"/>
            <w:tcBorders>
              <w:top w:val="single" w:sz="4" w:space="0" w:color="auto"/>
              <w:left w:val="single" w:sz="4" w:space="0" w:color="auto"/>
              <w:bottom w:val="single" w:sz="4" w:space="0" w:color="auto"/>
              <w:right w:val="single" w:sz="4" w:space="0" w:color="auto"/>
            </w:tcBorders>
            <w:hideMark/>
          </w:tcPr>
          <w:p w14:paraId="135DC5D1" w14:textId="77777777" w:rsidR="00BF151E" w:rsidRPr="0085122B" w:rsidRDefault="00BF151E">
            <w:pPr>
              <w:jc w:val="center"/>
            </w:pPr>
            <w:r w:rsidRPr="0085122B">
              <w:t>Endpoint</w:t>
            </w:r>
          </w:p>
        </w:tc>
        <w:tc>
          <w:tcPr>
            <w:tcW w:w="895" w:type="dxa"/>
            <w:tcBorders>
              <w:top w:val="single" w:sz="4" w:space="0" w:color="auto"/>
              <w:left w:val="single" w:sz="4" w:space="0" w:color="auto"/>
              <w:bottom w:val="single" w:sz="4" w:space="0" w:color="auto"/>
              <w:right w:val="single" w:sz="4" w:space="0" w:color="auto"/>
            </w:tcBorders>
          </w:tcPr>
          <w:p w14:paraId="0F7AAEAE" w14:textId="77777777" w:rsidR="00BF151E" w:rsidRPr="0085122B" w:rsidRDefault="00BF151E">
            <w:pPr>
              <w:jc w:val="center"/>
            </w:pPr>
          </w:p>
        </w:tc>
        <w:tc>
          <w:tcPr>
            <w:tcW w:w="2552" w:type="dxa"/>
            <w:tcBorders>
              <w:top w:val="single" w:sz="4" w:space="0" w:color="auto"/>
              <w:left w:val="single" w:sz="4" w:space="0" w:color="auto"/>
              <w:bottom w:val="single" w:sz="4" w:space="0" w:color="auto"/>
              <w:right w:val="single" w:sz="4" w:space="0" w:color="auto"/>
            </w:tcBorders>
            <w:hideMark/>
          </w:tcPr>
          <w:p w14:paraId="708C1530" w14:textId="77777777" w:rsidR="00BF151E" w:rsidRPr="0085122B" w:rsidRDefault="00BF151E">
            <w:pPr>
              <w:jc w:val="center"/>
            </w:pPr>
            <w:r w:rsidRPr="0085122B">
              <w:rPr>
                <w:rFonts w:cstheme="minorHAnsi"/>
                <w:bCs/>
                <w:lang w:eastAsia="en-GB"/>
              </w:rPr>
              <w:t>Zn</w:t>
            </w:r>
            <w:r w:rsidRPr="0085122B">
              <w:rPr>
                <w:rFonts w:cstheme="minorHAnsi"/>
                <w:bCs/>
                <w:vertAlign w:val="superscript"/>
                <w:lang w:eastAsia="en-GB"/>
              </w:rPr>
              <w:t xml:space="preserve">++ </w:t>
            </w:r>
            <w:r w:rsidRPr="0085122B">
              <w:rPr>
                <w:rFonts w:cstheme="minorHAnsi"/>
                <w:bCs/>
                <w:lang w:eastAsia="en-GB"/>
              </w:rPr>
              <w:t>ion concentration</w:t>
            </w:r>
          </w:p>
        </w:tc>
        <w:tc>
          <w:tcPr>
            <w:tcW w:w="3067" w:type="dxa"/>
            <w:tcBorders>
              <w:top w:val="single" w:sz="4" w:space="0" w:color="auto"/>
              <w:left w:val="single" w:sz="4" w:space="0" w:color="auto"/>
              <w:bottom w:val="single" w:sz="4" w:space="0" w:color="auto"/>
              <w:right w:val="single" w:sz="4" w:space="0" w:color="auto"/>
            </w:tcBorders>
            <w:hideMark/>
          </w:tcPr>
          <w:p w14:paraId="4915B352" w14:textId="77777777" w:rsidR="00BF151E" w:rsidRPr="0085122B" w:rsidRDefault="00BF151E">
            <w:pPr>
              <w:jc w:val="center"/>
            </w:pPr>
            <w:r w:rsidRPr="0085122B">
              <w:rPr>
                <w:rFonts w:cstheme="minorHAnsi"/>
                <w:bCs/>
                <w:lang w:eastAsia="en-GB"/>
              </w:rPr>
              <w:t>Species</w:t>
            </w:r>
          </w:p>
        </w:tc>
      </w:tr>
      <w:tr w:rsidR="0085122B" w:rsidRPr="0085122B" w14:paraId="16377729" w14:textId="77777777" w:rsidTr="00BF151E">
        <w:trPr>
          <w:jc w:val="center"/>
        </w:trPr>
        <w:tc>
          <w:tcPr>
            <w:tcW w:w="1187" w:type="dxa"/>
            <w:vMerge w:val="restart"/>
            <w:tcBorders>
              <w:top w:val="single" w:sz="4" w:space="0" w:color="auto"/>
              <w:left w:val="single" w:sz="4" w:space="0" w:color="auto"/>
              <w:bottom w:val="single" w:sz="4" w:space="0" w:color="auto"/>
              <w:right w:val="single" w:sz="4" w:space="0" w:color="auto"/>
            </w:tcBorders>
            <w:hideMark/>
          </w:tcPr>
          <w:p w14:paraId="21DFFD37" w14:textId="77777777" w:rsidR="00BF151E" w:rsidRPr="0085122B" w:rsidRDefault="00BF151E">
            <w:pPr>
              <w:jc w:val="center"/>
              <w:rPr>
                <w:rFonts w:cstheme="minorHAnsi"/>
                <w:bCs/>
                <w:lang w:eastAsia="en-GB"/>
              </w:rPr>
            </w:pPr>
            <w:r w:rsidRPr="0085122B">
              <w:rPr>
                <w:rFonts w:cstheme="minorHAnsi"/>
                <w:bCs/>
                <w:lang w:eastAsia="en-GB"/>
              </w:rPr>
              <w:t>Acute ecotoxicity</w:t>
            </w:r>
          </w:p>
        </w:tc>
        <w:tc>
          <w:tcPr>
            <w:tcW w:w="1315" w:type="dxa"/>
            <w:tcBorders>
              <w:top w:val="single" w:sz="4" w:space="0" w:color="auto"/>
              <w:left w:val="single" w:sz="4" w:space="0" w:color="auto"/>
              <w:bottom w:val="single" w:sz="4" w:space="0" w:color="auto"/>
              <w:right w:val="single" w:sz="4" w:space="0" w:color="auto"/>
            </w:tcBorders>
            <w:hideMark/>
          </w:tcPr>
          <w:p w14:paraId="2901EDF0" w14:textId="77777777" w:rsidR="00BF151E" w:rsidRPr="0085122B" w:rsidRDefault="00BF151E">
            <w:pPr>
              <w:jc w:val="center"/>
              <w:rPr>
                <w:rFonts w:cstheme="minorHAnsi"/>
                <w:bCs/>
                <w:lang w:eastAsia="en-GB"/>
              </w:rPr>
            </w:pPr>
            <w:r w:rsidRPr="0085122B">
              <w:rPr>
                <w:rFonts w:cstheme="minorHAnsi"/>
                <w:bCs/>
                <w:lang w:eastAsia="en-GB"/>
              </w:rPr>
              <w:t>NOEC</w:t>
            </w:r>
          </w:p>
        </w:tc>
        <w:tc>
          <w:tcPr>
            <w:tcW w:w="895" w:type="dxa"/>
            <w:tcBorders>
              <w:top w:val="single" w:sz="4" w:space="0" w:color="auto"/>
              <w:left w:val="single" w:sz="4" w:space="0" w:color="auto"/>
              <w:bottom w:val="single" w:sz="4" w:space="0" w:color="auto"/>
              <w:right w:val="single" w:sz="4" w:space="0" w:color="auto"/>
            </w:tcBorders>
            <w:hideMark/>
          </w:tcPr>
          <w:p w14:paraId="4A11EA8D" w14:textId="77777777" w:rsidR="00BF151E" w:rsidRPr="0085122B" w:rsidRDefault="00BF151E">
            <w:pPr>
              <w:jc w:val="center"/>
            </w:pPr>
            <w:r w:rsidRPr="0085122B">
              <w:rPr>
                <w:rFonts w:cstheme="minorHAnsi"/>
                <w:bCs/>
                <w:lang w:eastAsia="en-GB"/>
              </w:rPr>
              <w:t>pH 6</w:t>
            </w:r>
          </w:p>
        </w:tc>
        <w:tc>
          <w:tcPr>
            <w:tcW w:w="2552" w:type="dxa"/>
            <w:tcBorders>
              <w:top w:val="single" w:sz="4" w:space="0" w:color="auto"/>
              <w:left w:val="single" w:sz="4" w:space="0" w:color="auto"/>
              <w:bottom w:val="single" w:sz="4" w:space="0" w:color="auto"/>
              <w:right w:val="single" w:sz="4" w:space="0" w:color="auto"/>
            </w:tcBorders>
            <w:hideMark/>
          </w:tcPr>
          <w:p w14:paraId="2C5FFF50" w14:textId="77777777" w:rsidR="00BF151E" w:rsidRPr="0085122B" w:rsidRDefault="00BF151E">
            <w:pPr>
              <w:jc w:val="center"/>
            </w:pPr>
            <w:r w:rsidRPr="0085122B">
              <w:rPr>
                <w:rFonts w:cstheme="minorHAnsi"/>
                <w:bCs/>
                <w:lang w:eastAsia="en-GB"/>
              </w:rPr>
              <w:t>154 µg Zn/l</w:t>
            </w:r>
          </w:p>
        </w:tc>
        <w:tc>
          <w:tcPr>
            <w:tcW w:w="3067" w:type="dxa"/>
            <w:tcBorders>
              <w:top w:val="single" w:sz="4" w:space="0" w:color="auto"/>
              <w:left w:val="single" w:sz="4" w:space="0" w:color="auto"/>
              <w:bottom w:val="single" w:sz="4" w:space="0" w:color="auto"/>
              <w:right w:val="single" w:sz="4" w:space="0" w:color="auto"/>
            </w:tcBorders>
            <w:hideMark/>
          </w:tcPr>
          <w:p w14:paraId="79D25C9A" w14:textId="77777777" w:rsidR="00BF151E" w:rsidRPr="0085122B" w:rsidRDefault="00BF151E">
            <w:r w:rsidRPr="0085122B">
              <w:rPr>
                <w:rFonts w:cstheme="minorHAnsi"/>
                <w:bCs/>
                <w:lang w:eastAsia="en-GB"/>
              </w:rPr>
              <w:t>Daphnia magna</w:t>
            </w:r>
          </w:p>
        </w:tc>
      </w:tr>
      <w:tr w:rsidR="0085122B" w:rsidRPr="0085122B" w14:paraId="61C79C54" w14:textId="77777777" w:rsidTr="00BF151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E31312" w14:textId="77777777" w:rsidR="00BF151E" w:rsidRPr="0085122B" w:rsidRDefault="00BF151E">
            <w:pPr>
              <w:rPr>
                <w:rFonts w:cstheme="minorHAnsi"/>
                <w:bCs/>
                <w:lang w:eastAsia="en-GB"/>
              </w:rPr>
            </w:pPr>
          </w:p>
        </w:tc>
        <w:tc>
          <w:tcPr>
            <w:tcW w:w="1315" w:type="dxa"/>
            <w:tcBorders>
              <w:top w:val="single" w:sz="4" w:space="0" w:color="auto"/>
              <w:left w:val="single" w:sz="4" w:space="0" w:color="auto"/>
              <w:bottom w:val="single" w:sz="4" w:space="0" w:color="auto"/>
              <w:right w:val="single" w:sz="4" w:space="0" w:color="auto"/>
            </w:tcBorders>
            <w:hideMark/>
          </w:tcPr>
          <w:p w14:paraId="6A5F75B3" w14:textId="77777777" w:rsidR="00BF151E" w:rsidRPr="0085122B" w:rsidRDefault="00BF151E">
            <w:pPr>
              <w:jc w:val="center"/>
              <w:rPr>
                <w:rFonts w:cstheme="minorHAnsi"/>
                <w:bCs/>
                <w:lang w:eastAsia="en-GB"/>
              </w:rPr>
            </w:pPr>
            <w:r w:rsidRPr="0085122B">
              <w:rPr>
                <w:rFonts w:cstheme="minorHAnsi"/>
                <w:bCs/>
                <w:lang w:eastAsia="en-GB"/>
              </w:rPr>
              <w:t>NOEC</w:t>
            </w:r>
          </w:p>
        </w:tc>
        <w:tc>
          <w:tcPr>
            <w:tcW w:w="895" w:type="dxa"/>
            <w:tcBorders>
              <w:top w:val="single" w:sz="4" w:space="0" w:color="auto"/>
              <w:left w:val="single" w:sz="4" w:space="0" w:color="auto"/>
              <w:bottom w:val="single" w:sz="4" w:space="0" w:color="auto"/>
              <w:right w:val="single" w:sz="4" w:space="0" w:color="auto"/>
            </w:tcBorders>
            <w:hideMark/>
          </w:tcPr>
          <w:p w14:paraId="6B333DE6" w14:textId="77777777" w:rsidR="00BF151E" w:rsidRPr="0085122B" w:rsidRDefault="00BF151E">
            <w:pPr>
              <w:jc w:val="center"/>
            </w:pPr>
            <w:r w:rsidRPr="0085122B">
              <w:rPr>
                <w:rFonts w:cstheme="minorHAnsi"/>
                <w:bCs/>
                <w:lang w:eastAsia="en-GB"/>
              </w:rPr>
              <w:t>pH 8</w:t>
            </w:r>
          </w:p>
        </w:tc>
        <w:tc>
          <w:tcPr>
            <w:tcW w:w="2552" w:type="dxa"/>
            <w:tcBorders>
              <w:top w:val="single" w:sz="4" w:space="0" w:color="auto"/>
              <w:left w:val="single" w:sz="4" w:space="0" w:color="auto"/>
              <w:bottom w:val="single" w:sz="4" w:space="0" w:color="auto"/>
              <w:right w:val="single" w:sz="4" w:space="0" w:color="auto"/>
            </w:tcBorders>
            <w:hideMark/>
          </w:tcPr>
          <w:p w14:paraId="27DA93A5" w14:textId="77777777" w:rsidR="00BF151E" w:rsidRPr="0085122B" w:rsidRDefault="00BF151E">
            <w:pPr>
              <w:jc w:val="center"/>
            </w:pPr>
            <w:r w:rsidRPr="0085122B">
              <w:rPr>
                <w:rFonts w:cstheme="minorHAnsi"/>
                <w:bCs/>
                <w:lang w:eastAsia="en-GB"/>
              </w:rPr>
              <w:t>41 µg Zn/l</w:t>
            </w:r>
          </w:p>
        </w:tc>
        <w:tc>
          <w:tcPr>
            <w:tcW w:w="3067" w:type="dxa"/>
            <w:tcBorders>
              <w:top w:val="single" w:sz="4" w:space="0" w:color="auto"/>
              <w:left w:val="single" w:sz="4" w:space="0" w:color="auto"/>
              <w:bottom w:val="single" w:sz="4" w:space="0" w:color="auto"/>
              <w:right w:val="single" w:sz="4" w:space="0" w:color="auto"/>
            </w:tcBorders>
            <w:hideMark/>
          </w:tcPr>
          <w:p w14:paraId="075EFAC9" w14:textId="77777777" w:rsidR="00BF151E" w:rsidRPr="0085122B" w:rsidRDefault="00BF151E">
            <w:proofErr w:type="spellStart"/>
            <w:r w:rsidRPr="0085122B">
              <w:rPr>
                <w:rFonts w:cstheme="minorHAnsi"/>
                <w:bCs/>
                <w:lang w:eastAsia="en-GB"/>
              </w:rPr>
              <w:t>Pseudokirchneriella</w:t>
            </w:r>
            <w:proofErr w:type="spellEnd"/>
            <w:r w:rsidRPr="0085122B">
              <w:rPr>
                <w:rFonts w:cstheme="minorHAnsi"/>
                <w:bCs/>
                <w:lang w:eastAsia="en-GB"/>
              </w:rPr>
              <w:t xml:space="preserve"> </w:t>
            </w:r>
            <w:proofErr w:type="spellStart"/>
            <w:r w:rsidRPr="0085122B">
              <w:rPr>
                <w:rFonts w:cstheme="minorHAnsi"/>
                <w:bCs/>
                <w:lang w:eastAsia="en-GB"/>
              </w:rPr>
              <w:t>subcapitata</w:t>
            </w:r>
            <w:proofErr w:type="spellEnd"/>
          </w:p>
        </w:tc>
      </w:tr>
      <w:tr w:rsidR="0085122B" w:rsidRPr="0085122B" w14:paraId="301E77D0" w14:textId="77777777" w:rsidTr="00BF151E">
        <w:trPr>
          <w:jc w:val="center"/>
        </w:trPr>
        <w:tc>
          <w:tcPr>
            <w:tcW w:w="1187" w:type="dxa"/>
            <w:vMerge w:val="restart"/>
            <w:tcBorders>
              <w:top w:val="single" w:sz="4" w:space="0" w:color="auto"/>
              <w:left w:val="single" w:sz="4" w:space="0" w:color="auto"/>
              <w:bottom w:val="single" w:sz="4" w:space="0" w:color="auto"/>
              <w:right w:val="single" w:sz="4" w:space="0" w:color="auto"/>
            </w:tcBorders>
            <w:hideMark/>
          </w:tcPr>
          <w:p w14:paraId="41C51BE8" w14:textId="77777777" w:rsidR="00BF151E" w:rsidRPr="0085122B" w:rsidRDefault="00BF151E">
            <w:pPr>
              <w:jc w:val="center"/>
              <w:rPr>
                <w:rFonts w:cstheme="minorHAnsi"/>
                <w:bCs/>
                <w:lang w:eastAsia="en-GB"/>
              </w:rPr>
            </w:pPr>
            <w:r w:rsidRPr="0085122B">
              <w:rPr>
                <w:rFonts w:cstheme="minorHAnsi"/>
                <w:bCs/>
                <w:lang w:eastAsia="en-GB"/>
              </w:rPr>
              <w:t>Chronic ecotoxicity</w:t>
            </w:r>
          </w:p>
        </w:tc>
        <w:tc>
          <w:tcPr>
            <w:tcW w:w="1315" w:type="dxa"/>
            <w:tcBorders>
              <w:top w:val="single" w:sz="4" w:space="0" w:color="auto"/>
              <w:left w:val="single" w:sz="4" w:space="0" w:color="auto"/>
              <w:bottom w:val="single" w:sz="4" w:space="0" w:color="auto"/>
              <w:right w:val="single" w:sz="4" w:space="0" w:color="auto"/>
            </w:tcBorders>
            <w:hideMark/>
          </w:tcPr>
          <w:p w14:paraId="41CC6182" w14:textId="77777777" w:rsidR="00BF151E" w:rsidRPr="0085122B" w:rsidRDefault="00BF151E">
            <w:pPr>
              <w:jc w:val="center"/>
              <w:rPr>
                <w:rFonts w:cstheme="minorHAnsi"/>
                <w:bCs/>
                <w:lang w:eastAsia="en-GB"/>
              </w:rPr>
            </w:pPr>
            <w:r w:rsidRPr="0085122B">
              <w:rPr>
                <w:rFonts w:cstheme="minorHAnsi"/>
                <w:bCs/>
                <w:lang w:eastAsia="en-GB"/>
              </w:rPr>
              <w:t>NOEC</w:t>
            </w:r>
          </w:p>
        </w:tc>
        <w:tc>
          <w:tcPr>
            <w:tcW w:w="895" w:type="dxa"/>
            <w:tcBorders>
              <w:top w:val="single" w:sz="4" w:space="0" w:color="auto"/>
              <w:left w:val="single" w:sz="4" w:space="0" w:color="auto"/>
              <w:bottom w:val="single" w:sz="4" w:space="0" w:color="auto"/>
              <w:right w:val="single" w:sz="4" w:space="0" w:color="auto"/>
            </w:tcBorders>
            <w:hideMark/>
          </w:tcPr>
          <w:p w14:paraId="58C583FA" w14:textId="77777777" w:rsidR="00BF151E" w:rsidRPr="0085122B" w:rsidRDefault="00BF151E">
            <w:pPr>
              <w:jc w:val="center"/>
              <w:rPr>
                <w:rFonts w:cstheme="minorHAnsi"/>
                <w:bCs/>
                <w:lang w:eastAsia="en-GB"/>
              </w:rPr>
            </w:pPr>
            <w:r w:rsidRPr="0085122B">
              <w:rPr>
                <w:rFonts w:cstheme="minorHAnsi"/>
                <w:bCs/>
                <w:lang w:eastAsia="en-GB"/>
              </w:rPr>
              <w:t>pH 6</w:t>
            </w:r>
          </w:p>
        </w:tc>
        <w:tc>
          <w:tcPr>
            <w:tcW w:w="2552" w:type="dxa"/>
            <w:tcBorders>
              <w:top w:val="single" w:sz="4" w:space="0" w:color="auto"/>
              <w:left w:val="single" w:sz="4" w:space="0" w:color="auto"/>
              <w:bottom w:val="single" w:sz="4" w:space="0" w:color="auto"/>
              <w:right w:val="single" w:sz="4" w:space="0" w:color="auto"/>
            </w:tcBorders>
            <w:hideMark/>
          </w:tcPr>
          <w:p w14:paraId="2C65002A" w14:textId="77777777" w:rsidR="00BF151E" w:rsidRPr="0085122B" w:rsidRDefault="00BF151E">
            <w:pPr>
              <w:jc w:val="center"/>
              <w:rPr>
                <w:rFonts w:cstheme="minorHAnsi"/>
                <w:bCs/>
                <w:lang w:eastAsia="en-GB"/>
              </w:rPr>
            </w:pPr>
            <w:r w:rsidRPr="0085122B">
              <w:rPr>
                <w:rFonts w:cstheme="minorHAnsi"/>
                <w:bCs/>
                <w:lang w:eastAsia="en-GB"/>
              </w:rPr>
              <w:t>99 µg Zn/l</w:t>
            </w:r>
          </w:p>
        </w:tc>
        <w:tc>
          <w:tcPr>
            <w:tcW w:w="3067" w:type="dxa"/>
            <w:tcBorders>
              <w:top w:val="single" w:sz="4" w:space="0" w:color="auto"/>
              <w:left w:val="single" w:sz="4" w:space="0" w:color="auto"/>
              <w:bottom w:val="single" w:sz="4" w:space="0" w:color="auto"/>
              <w:right w:val="single" w:sz="4" w:space="0" w:color="auto"/>
            </w:tcBorders>
            <w:hideMark/>
          </w:tcPr>
          <w:p w14:paraId="39C405C7" w14:textId="77777777" w:rsidR="00BF151E" w:rsidRPr="0085122B" w:rsidRDefault="00BF151E">
            <w:pPr>
              <w:rPr>
                <w:rFonts w:cstheme="minorHAnsi"/>
                <w:bCs/>
                <w:lang w:eastAsia="en-GB"/>
              </w:rPr>
            </w:pPr>
            <w:proofErr w:type="spellStart"/>
            <w:r w:rsidRPr="0085122B">
              <w:rPr>
                <w:rFonts w:cstheme="minorHAnsi"/>
                <w:bCs/>
                <w:lang w:eastAsia="en-GB"/>
              </w:rPr>
              <w:t>Pseudokirchneriella</w:t>
            </w:r>
            <w:proofErr w:type="spellEnd"/>
            <w:r w:rsidRPr="0085122B">
              <w:rPr>
                <w:rFonts w:cstheme="minorHAnsi"/>
                <w:bCs/>
                <w:lang w:eastAsia="en-GB"/>
              </w:rPr>
              <w:t xml:space="preserve"> </w:t>
            </w:r>
            <w:proofErr w:type="spellStart"/>
            <w:r w:rsidRPr="0085122B">
              <w:rPr>
                <w:rFonts w:cstheme="minorHAnsi"/>
                <w:bCs/>
                <w:lang w:eastAsia="en-GB"/>
              </w:rPr>
              <w:t>subcapitata</w:t>
            </w:r>
            <w:proofErr w:type="spellEnd"/>
          </w:p>
        </w:tc>
      </w:tr>
      <w:tr w:rsidR="0085122B" w:rsidRPr="0085122B" w14:paraId="1C61959A" w14:textId="77777777" w:rsidTr="00BF151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E73C35" w14:textId="77777777" w:rsidR="00BF151E" w:rsidRPr="0085122B" w:rsidRDefault="00BF151E">
            <w:pPr>
              <w:rPr>
                <w:rFonts w:cstheme="minorHAnsi"/>
                <w:bCs/>
                <w:lang w:eastAsia="en-GB"/>
              </w:rPr>
            </w:pPr>
          </w:p>
        </w:tc>
        <w:tc>
          <w:tcPr>
            <w:tcW w:w="1315" w:type="dxa"/>
            <w:tcBorders>
              <w:top w:val="single" w:sz="4" w:space="0" w:color="auto"/>
              <w:left w:val="single" w:sz="4" w:space="0" w:color="auto"/>
              <w:bottom w:val="single" w:sz="4" w:space="0" w:color="auto"/>
              <w:right w:val="single" w:sz="4" w:space="0" w:color="auto"/>
            </w:tcBorders>
            <w:hideMark/>
          </w:tcPr>
          <w:p w14:paraId="10FD8856" w14:textId="77777777" w:rsidR="00BF151E" w:rsidRPr="0085122B" w:rsidRDefault="00BF151E">
            <w:pPr>
              <w:jc w:val="center"/>
              <w:rPr>
                <w:rFonts w:cstheme="minorHAnsi"/>
                <w:bCs/>
                <w:lang w:eastAsia="en-GB"/>
              </w:rPr>
            </w:pPr>
            <w:r w:rsidRPr="0085122B">
              <w:rPr>
                <w:rFonts w:cstheme="minorHAnsi"/>
                <w:bCs/>
                <w:lang w:eastAsia="en-GB"/>
              </w:rPr>
              <w:t>NOEC</w:t>
            </w:r>
          </w:p>
        </w:tc>
        <w:tc>
          <w:tcPr>
            <w:tcW w:w="895" w:type="dxa"/>
            <w:tcBorders>
              <w:top w:val="single" w:sz="4" w:space="0" w:color="auto"/>
              <w:left w:val="single" w:sz="4" w:space="0" w:color="auto"/>
              <w:bottom w:val="single" w:sz="4" w:space="0" w:color="auto"/>
              <w:right w:val="single" w:sz="4" w:space="0" w:color="auto"/>
            </w:tcBorders>
            <w:hideMark/>
          </w:tcPr>
          <w:p w14:paraId="6963FEDE" w14:textId="77777777" w:rsidR="00BF151E" w:rsidRPr="0085122B" w:rsidRDefault="00BF151E">
            <w:pPr>
              <w:jc w:val="center"/>
              <w:rPr>
                <w:rFonts w:cstheme="minorHAnsi"/>
                <w:bCs/>
                <w:lang w:eastAsia="en-GB"/>
              </w:rPr>
            </w:pPr>
            <w:r w:rsidRPr="0085122B">
              <w:rPr>
                <w:rFonts w:cstheme="minorHAnsi"/>
                <w:bCs/>
                <w:lang w:eastAsia="en-GB"/>
              </w:rPr>
              <w:t>pH 8</w:t>
            </w:r>
          </w:p>
        </w:tc>
        <w:tc>
          <w:tcPr>
            <w:tcW w:w="2552" w:type="dxa"/>
            <w:tcBorders>
              <w:top w:val="single" w:sz="4" w:space="0" w:color="auto"/>
              <w:left w:val="single" w:sz="4" w:space="0" w:color="auto"/>
              <w:bottom w:val="single" w:sz="4" w:space="0" w:color="auto"/>
              <w:right w:val="single" w:sz="4" w:space="0" w:color="auto"/>
            </w:tcBorders>
            <w:hideMark/>
          </w:tcPr>
          <w:p w14:paraId="3C356A42" w14:textId="77777777" w:rsidR="00BF151E" w:rsidRPr="0085122B" w:rsidRDefault="00BF151E">
            <w:pPr>
              <w:jc w:val="center"/>
              <w:rPr>
                <w:rFonts w:cstheme="minorHAnsi"/>
                <w:bCs/>
                <w:lang w:eastAsia="en-GB"/>
              </w:rPr>
            </w:pPr>
            <w:r w:rsidRPr="0085122B">
              <w:rPr>
                <w:rFonts w:cstheme="minorHAnsi"/>
                <w:bCs/>
                <w:lang w:eastAsia="en-GB"/>
              </w:rPr>
              <w:t>11 µg Zn/l</w:t>
            </w:r>
          </w:p>
        </w:tc>
        <w:tc>
          <w:tcPr>
            <w:tcW w:w="3067" w:type="dxa"/>
            <w:tcBorders>
              <w:top w:val="single" w:sz="4" w:space="0" w:color="auto"/>
              <w:left w:val="single" w:sz="4" w:space="0" w:color="auto"/>
              <w:bottom w:val="single" w:sz="4" w:space="0" w:color="auto"/>
              <w:right w:val="single" w:sz="4" w:space="0" w:color="auto"/>
            </w:tcBorders>
            <w:hideMark/>
          </w:tcPr>
          <w:p w14:paraId="683A371F" w14:textId="77777777" w:rsidR="00BF151E" w:rsidRPr="0085122B" w:rsidRDefault="00BF151E">
            <w:pPr>
              <w:rPr>
                <w:rFonts w:cstheme="minorHAnsi"/>
                <w:bCs/>
                <w:lang w:eastAsia="en-GB"/>
              </w:rPr>
            </w:pPr>
            <w:proofErr w:type="spellStart"/>
            <w:r w:rsidRPr="0085122B">
              <w:rPr>
                <w:rFonts w:cstheme="minorHAnsi"/>
                <w:bCs/>
                <w:lang w:eastAsia="en-GB"/>
              </w:rPr>
              <w:t>Pseudokirchneriella</w:t>
            </w:r>
            <w:proofErr w:type="spellEnd"/>
            <w:r w:rsidRPr="0085122B">
              <w:rPr>
                <w:rFonts w:cstheme="minorHAnsi"/>
                <w:bCs/>
                <w:lang w:eastAsia="en-GB"/>
              </w:rPr>
              <w:t xml:space="preserve"> </w:t>
            </w:r>
            <w:proofErr w:type="spellStart"/>
            <w:r w:rsidRPr="0085122B">
              <w:rPr>
                <w:rFonts w:cstheme="minorHAnsi"/>
                <w:bCs/>
                <w:lang w:eastAsia="en-GB"/>
              </w:rPr>
              <w:t>subcapitata</w:t>
            </w:r>
            <w:proofErr w:type="spellEnd"/>
          </w:p>
        </w:tc>
      </w:tr>
    </w:tbl>
    <w:p w14:paraId="66B4F9A7" w14:textId="77777777" w:rsidR="00BF151E" w:rsidRPr="0085122B" w:rsidRDefault="00BF151E" w:rsidP="00BF151E">
      <w:pPr>
        <w:spacing w:line="276" w:lineRule="auto"/>
        <w:rPr>
          <w:rFonts w:cstheme="minorHAnsi"/>
          <w:i/>
        </w:rPr>
      </w:pPr>
      <w:r w:rsidRPr="0085122B">
        <w:rPr>
          <w:rFonts w:cstheme="minorHAnsi"/>
          <w:i/>
        </w:rPr>
        <w:br/>
        <w:t>b) Sediment toxicity</w:t>
      </w:r>
    </w:p>
    <w:tbl>
      <w:tblPr>
        <w:tblStyle w:val="Mkatabulky"/>
        <w:tblW w:w="5000" w:type="pct"/>
        <w:jc w:val="center"/>
        <w:tblLook w:val="04A0" w:firstRow="1" w:lastRow="0" w:firstColumn="1" w:lastColumn="0" w:noHBand="0" w:noVBand="1"/>
      </w:tblPr>
      <w:tblGrid>
        <w:gridCol w:w="1482"/>
        <w:gridCol w:w="2220"/>
        <w:gridCol w:w="1980"/>
        <w:gridCol w:w="3334"/>
      </w:tblGrid>
      <w:tr w:rsidR="0085122B" w:rsidRPr="0085122B" w14:paraId="3ECE8D79" w14:textId="77777777" w:rsidTr="00BF151E">
        <w:trPr>
          <w:jc w:val="center"/>
        </w:trPr>
        <w:tc>
          <w:tcPr>
            <w:tcW w:w="822" w:type="pct"/>
            <w:tcBorders>
              <w:top w:val="single" w:sz="4" w:space="0" w:color="auto"/>
              <w:left w:val="single" w:sz="4" w:space="0" w:color="auto"/>
              <w:bottom w:val="single" w:sz="4" w:space="0" w:color="auto"/>
              <w:right w:val="single" w:sz="4" w:space="0" w:color="auto"/>
            </w:tcBorders>
            <w:hideMark/>
          </w:tcPr>
          <w:p w14:paraId="47DA6B29" w14:textId="77777777" w:rsidR="00BF151E" w:rsidRPr="0085122B" w:rsidRDefault="00BF151E">
            <w:r w:rsidRPr="0085122B">
              <w:t>Endpoint</w:t>
            </w:r>
          </w:p>
        </w:tc>
        <w:tc>
          <w:tcPr>
            <w:tcW w:w="1231" w:type="pct"/>
            <w:tcBorders>
              <w:top w:val="single" w:sz="4" w:space="0" w:color="auto"/>
              <w:left w:val="single" w:sz="4" w:space="0" w:color="auto"/>
              <w:bottom w:val="single" w:sz="4" w:space="0" w:color="auto"/>
              <w:right w:val="single" w:sz="4" w:space="0" w:color="auto"/>
            </w:tcBorders>
            <w:hideMark/>
          </w:tcPr>
          <w:p w14:paraId="214DE887" w14:textId="77777777" w:rsidR="00BF151E" w:rsidRPr="0085122B" w:rsidRDefault="00BF151E">
            <w:r w:rsidRPr="0085122B">
              <w:rPr>
                <w:rFonts w:cstheme="minorHAnsi"/>
                <w:bCs/>
                <w:lang w:eastAsia="en-GB"/>
              </w:rPr>
              <w:t>Value range</w:t>
            </w:r>
          </w:p>
        </w:tc>
        <w:tc>
          <w:tcPr>
            <w:tcW w:w="1098" w:type="pct"/>
            <w:tcBorders>
              <w:top w:val="single" w:sz="4" w:space="0" w:color="auto"/>
              <w:left w:val="single" w:sz="4" w:space="0" w:color="auto"/>
              <w:bottom w:val="single" w:sz="4" w:space="0" w:color="auto"/>
              <w:right w:val="single" w:sz="4" w:space="0" w:color="auto"/>
            </w:tcBorders>
            <w:hideMark/>
          </w:tcPr>
          <w:p w14:paraId="44DE3459" w14:textId="77777777" w:rsidR="00BF151E" w:rsidRPr="0085122B" w:rsidRDefault="00BF151E">
            <w:r w:rsidRPr="0085122B">
              <w:rPr>
                <w:rFonts w:cstheme="minorHAnsi"/>
                <w:bCs/>
                <w:lang w:eastAsia="en-GB"/>
              </w:rPr>
              <w:t>Data source</w:t>
            </w:r>
          </w:p>
        </w:tc>
        <w:tc>
          <w:tcPr>
            <w:tcW w:w="1850" w:type="pct"/>
            <w:tcBorders>
              <w:top w:val="single" w:sz="4" w:space="0" w:color="auto"/>
              <w:left w:val="single" w:sz="4" w:space="0" w:color="auto"/>
              <w:bottom w:val="single" w:sz="4" w:space="0" w:color="auto"/>
              <w:right w:val="single" w:sz="4" w:space="0" w:color="auto"/>
            </w:tcBorders>
            <w:hideMark/>
          </w:tcPr>
          <w:p w14:paraId="1B8B01BE" w14:textId="77777777" w:rsidR="00BF151E" w:rsidRPr="0085122B" w:rsidRDefault="00BF151E">
            <w:pPr>
              <w:rPr>
                <w:rFonts w:cstheme="minorHAnsi"/>
                <w:bCs/>
                <w:lang w:eastAsia="en-GB"/>
              </w:rPr>
            </w:pPr>
            <w:r w:rsidRPr="0085122B">
              <w:rPr>
                <w:rFonts w:cstheme="minorHAnsi"/>
                <w:bCs/>
                <w:lang w:eastAsia="en-GB"/>
              </w:rPr>
              <w:t>PNEC extrapolation method</w:t>
            </w:r>
          </w:p>
        </w:tc>
      </w:tr>
      <w:tr w:rsidR="0085122B" w:rsidRPr="0085122B" w14:paraId="21B71A8C" w14:textId="77777777" w:rsidTr="00BF151E">
        <w:trPr>
          <w:jc w:val="center"/>
        </w:trPr>
        <w:tc>
          <w:tcPr>
            <w:tcW w:w="822" w:type="pct"/>
            <w:tcBorders>
              <w:top w:val="single" w:sz="4" w:space="0" w:color="auto"/>
              <w:left w:val="single" w:sz="4" w:space="0" w:color="auto"/>
              <w:bottom w:val="single" w:sz="4" w:space="0" w:color="auto"/>
              <w:right w:val="single" w:sz="4" w:space="0" w:color="auto"/>
            </w:tcBorders>
            <w:hideMark/>
          </w:tcPr>
          <w:p w14:paraId="15161E52" w14:textId="77777777" w:rsidR="00BF151E" w:rsidRPr="0085122B" w:rsidRDefault="00BF151E">
            <w:r w:rsidRPr="0085122B">
              <w:rPr>
                <w:rFonts w:cstheme="minorHAnsi"/>
                <w:bCs/>
                <w:lang w:eastAsia="en-GB"/>
              </w:rPr>
              <w:t>NOEC/ EC10</w:t>
            </w:r>
          </w:p>
        </w:tc>
        <w:tc>
          <w:tcPr>
            <w:tcW w:w="1231" w:type="pct"/>
            <w:tcBorders>
              <w:top w:val="single" w:sz="4" w:space="0" w:color="auto"/>
              <w:left w:val="single" w:sz="4" w:space="0" w:color="auto"/>
              <w:bottom w:val="single" w:sz="4" w:space="0" w:color="auto"/>
              <w:right w:val="single" w:sz="4" w:space="0" w:color="auto"/>
            </w:tcBorders>
            <w:hideMark/>
          </w:tcPr>
          <w:p w14:paraId="0C95EE95" w14:textId="77777777" w:rsidR="00BF151E" w:rsidRPr="0085122B" w:rsidRDefault="00BF151E">
            <w:r w:rsidRPr="0085122B">
              <w:rPr>
                <w:rFonts w:cstheme="minorHAnsi"/>
                <w:bCs/>
                <w:lang w:eastAsia="en-GB"/>
              </w:rPr>
              <w:t>218 to 1101 µg Zn/l</w:t>
            </w:r>
          </w:p>
        </w:tc>
        <w:tc>
          <w:tcPr>
            <w:tcW w:w="1098" w:type="pct"/>
            <w:tcBorders>
              <w:top w:val="single" w:sz="4" w:space="0" w:color="auto"/>
              <w:left w:val="single" w:sz="4" w:space="0" w:color="auto"/>
              <w:bottom w:val="single" w:sz="4" w:space="0" w:color="auto"/>
              <w:right w:val="single" w:sz="4" w:space="0" w:color="auto"/>
            </w:tcBorders>
            <w:hideMark/>
          </w:tcPr>
          <w:p w14:paraId="6EEE85D8" w14:textId="77777777" w:rsidR="00BF151E" w:rsidRPr="0085122B" w:rsidRDefault="00BF151E">
            <w:r w:rsidRPr="0085122B">
              <w:rPr>
                <w:rFonts w:cstheme="minorHAnsi"/>
                <w:bCs/>
                <w:lang w:eastAsia="en-GB"/>
              </w:rPr>
              <w:t xml:space="preserve">7 </w:t>
            </w:r>
            <w:r w:rsidRPr="0085122B">
              <w:rPr>
                <w:rFonts w:cstheme="minorHAnsi"/>
              </w:rPr>
              <w:t xml:space="preserve">benthic </w:t>
            </w:r>
            <w:r w:rsidRPr="0085122B">
              <w:rPr>
                <w:rFonts w:cstheme="minorHAnsi"/>
                <w:bCs/>
                <w:lang w:eastAsia="en-GB"/>
              </w:rPr>
              <w:t>species</w:t>
            </w:r>
          </w:p>
        </w:tc>
        <w:tc>
          <w:tcPr>
            <w:tcW w:w="1850" w:type="pct"/>
            <w:tcBorders>
              <w:top w:val="single" w:sz="4" w:space="0" w:color="auto"/>
              <w:left w:val="single" w:sz="4" w:space="0" w:color="auto"/>
              <w:bottom w:val="single" w:sz="4" w:space="0" w:color="auto"/>
              <w:right w:val="single" w:sz="4" w:space="0" w:color="auto"/>
            </w:tcBorders>
            <w:hideMark/>
          </w:tcPr>
          <w:p w14:paraId="4F91A6C1" w14:textId="77777777" w:rsidR="00BF151E" w:rsidRPr="0085122B" w:rsidRDefault="00BF151E">
            <w:pPr>
              <w:rPr>
                <w:rFonts w:cstheme="minorHAnsi"/>
                <w:bCs/>
                <w:lang w:eastAsia="en-GB"/>
              </w:rPr>
            </w:pPr>
            <w:r w:rsidRPr="0085122B">
              <w:rPr>
                <w:rFonts w:cstheme="minorHAnsi"/>
                <w:bCs/>
                <w:lang w:eastAsia="en-GB"/>
              </w:rPr>
              <w:t>Species Sensitivity Distribution</w:t>
            </w:r>
          </w:p>
        </w:tc>
      </w:tr>
    </w:tbl>
    <w:p w14:paraId="08823DEF" w14:textId="77777777" w:rsidR="00BF151E" w:rsidRPr="0085122B" w:rsidRDefault="00BF151E" w:rsidP="00BF151E">
      <w:pPr>
        <w:spacing w:line="276" w:lineRule="auto"/>
        <w:jc w:val="both"/>
        <w:rPr>
          <w:rFonts w:cstheme="minorHAnsi"/>
          <w:i/>
        </w:rPr>
      </w:pPr>
      <w:r w:rsidRPr="0085122B">
        <w:rPr>
          <w:rFonts w:cstheme="minorHAnsi"/>
          <w:i/>
        </w:rPr>
        <w:br/>
        <w:t>c) Soil toxicity</w:t>
      </w:r>
    </w:p>
    <w:tbl>
      <w:tblPr>
        <w:tblStyle w:val="Mkatabulky"/>
        <w:tblW w:w="9016" w:type="dxa"/>
        <w:jc w:val="center"/>
        <w:tblLook w:val="04A0" w:firstRow="1" w:lastRow="0" w:firstColumn="1" w:lastColumn="0" w:noHBand="0" w:noVBand="1"/>
      </w:tblPr>
      <w:tblGrid>
        <w:gridCol w:w="1413"/>
        <w:gridCol w:w="1701"/>
        <w:gridCol w:w="2835"/>
        <w:gridCol w:w="3067"/>
      </w:tblGrid>
      <w:tr w:rsidR="0085122B" w:rsidRPr="0085122B" w14:paraId="53D048D1" w14:textId="77777777" w:rsidTr="00BF151E">
        <w:trPr>
          <w:jc w:val="center"/>
        </w:trPr>
        <w:tc>
          <w:tcPr>
            <w:tcW w:w="1413" w:type="dxa"/>
            <w:tcBorders>
              <w:top w:val="single" w:sz="4" w:space="0" w:color="auto"/>
              <w:left w:val="single" w:sz="4" w:space="0" w:color="auto"/>
              <w:bottom w:val="single" w:sz="4" w:space="0" w:color="auto"/>
              <w:right w:val="single" w:sz="4" w:space="0" w:color="auto"/>
            </w:tcBorders>
            <w:hideMark/>
          </w:tcPr>
          <w:p w14:paraId="078EC1D6" w14:textId="77777777" w:rsidR="00BF151E" w:rsidRPr="0085122B" w:rsidRDefault="00BF151E">
            <w:r w:rsidRPr="0085122B">
              <w:t>Endpoint</w:t>
            </w:r>
          </w:p>
        </w:tc>
        <w:tc>
          <w:tcPr>
            <w:tcW w:w="1701" w:type="dxa"/>
            <w:tcBorders>
              <w:top w:val="single" w:sz="4" w:space="0" w:color="auto"/>
              <w:left w:val="single" w:sz="4" w:space="0" w:color="auto"/>
              <w:bottom w:val="single" w:sz="4" w:space="0" w:color="auto"/>
              <w:right w:val="single" w:sz="4" w:space="0" w:color="auto"/>
            </w:tcBorders>
            <w:hideMark/>
          </w:tcPr>
          <w:p w14:paraId="0AAED136" w14:textId="77777777" w:rsidR="00BF151E" w:rsidRPr="0085122B" w:rsidRDefault="00BF151E">
            <w:r w:rsidRPr="0085122B">
              <w:rPr>
                <w:rFonts w:cstheme="minorHAnsi"/>
                <w:bCs/>
                <w:lang w:eastAsia="en-GB"/>
              </w:rPr>
              <w:t>Value range</w:t>
            </w:r>
          </w:p>
        </w:tc>
        <w:tc>
          <w:tcPr>
            <w:tcW w:w="2835" w:type="dxa"/>
            <w:tcBorders>
              <w:top w:val="single" w:sz="4" w:space="0" w:color="auto"/>
              <w:left w:val="single" w:sz="4" w:space="0" w:color="auto"/>
              <w:bottom w:val="single" w:sz="4" w:space="0" w:color="auto"/>
              <w:right w:val="single" w:sz="4" w:space="0" w:color="auto"/>
            </w:tcBorders>
            <w:hideMark/>
          </w:tcPr>
          <w:p w14:paraId="6F9CCD5F" w14:textId="77777777" w:rsidR="00BF151E" w:rsidRPr="0085122B" w:rsidRDefault="00BF151E">
            <w:r w:rsidRPr="0085122B">
              <w:rPr>
                <w:rFonts w:cstheme="minorHAnsi"/>
                <w:bCs/>
                <w:lang w:eastAsia="en-GB"/>
              </w:rPr>
              <w:t>Data source</w:t>
            </w:r>
          </w:p>
        </w:tc>
        <w:tc>
          <w:tcPr>
            <w:tcW w:w="3067" w:type="dxa"/>
            <w:tcBorders>
              <w:top w:val="single" w:sz="4" w:space="0" w:color="auto"/>
              <w:left w:val="single" w:sz="4" w:space="0" w:color="auto"/>
              <w:bottom w:val="single" w:sz="4" w:space="0" w:color="auto"/>
              <w:right w:val="single" w:sz="4" w:space="0" w:color="auto"/>
            </w:tcBorders>
            <w:hideMark/>
          </w:tcPr>
          <w:p w14:paraId="6D7F9DA9" w14:textId="77777777" w:rsidR="00BF151E" w:rsidRPr="0085122B" w:rsidRDefault="00BF151E">
            <w:pPr>
              <w:rPr>
                <w:rFonts w:cstheme="minorHAnsi"/>
                <w:bCs/>
                <w:lang w:eastAsia="en-GB"/>
              </w:rPr>
            </w:pPr>
            <w:r w:rsidRPr="0085122B">
              <w:rPr>
                <w:rFonts w:cstheme="minorHAnsi"/>
                <w:bCs/>
                <w:lang w:eastAsia="en-GB"/>
              </w:rPr>
              <w:t>PNEC extrapolation method</w:t>
            </w:r>
          </w:p>
        </w:tc>
      </w:tr>
      <w:tr w:rsidR="0085122B" w:rsidRPr="0085122B" w14:paraId="7BF8B67F" w14:textId="77777777" w:rsidTr="00BF151E">
        <w:trPr>
          <w:jc w:val="center"/>
        </w:trPr>
        <w:tc>
          <w:tcPr>
            <w:tcW w:w="1413" w:type="dxa"/>
            <w:tcBorders>
              <w:top w:val="single" w:sz="4" w:space="0" w:color="auto"/>
              <w:left w:val="single" w:sz="4" w:space="0" w:color="auto"/>
              <w:bottom w:val="single" w:sz="4" w:space="0" w:color="auto"/>
              <w:right w:val="single" w:sz="4" w:space="0" w:color="auto"/>
            </w:tcBorders>
            <w:hideMark/>
          </w:tcPr>
          <w:p w14:paraId="78864D78" w14:textId="77777777" w:rsidR="00BF151E" w:rsidRPr="0085122B" w:rsidRDefault="00BF151E">
            <w:r w:rsidRPr="0085122B">
              <w:rPr>
                <w:rFonts w:cstheme="minorHAnsi"/>
                <w:bCs/>
                <w:lang w:eastAsia="en-GB"/>
              </w:rPr>
              <w:t>NOEC/ EC10</w:t>
            </w:r>
          </w:p>
        </w:tc>
        <w:tc>
          <w:tcPr>
            <w:tcW w:w="1701" w:type="dxa"/>
            <w:tcBorders>
              <w:top w:val="single" w:sz="4" w:space="0" w:color="auto"/>
              <w:left w:val="single" w:sz="4" w:space="0" w:color="auto"/>
              <w:bottom w:val="single" w:sz="4" w:space="0" w:color="auto"/>
              <w:right w:val="single" w:sz="4" w:space="0" w:color="auto"/>
            </w:tcBorders>
            <w:hideMark/>
          </w:tcPr>
          <w:p w14:paraId="5356E2BD" w14:textId="77777777" w:rsidR="00BF151E" w:rsidRPr="0085122B" w:rsidRDefault="00BF151E">
            <w:r w:rsidRPr="0085122B">
              <w:rPr>
                <w:rFonts w:cstheme="minorHAnsi"/>
                <w:bCs/>
                <w:lang w:eastAsia="en-GB"/>
              </w:rPr>
              <w:t>31.2 and 8003.5 mg Zn/kg dry weight (</w:t>
            </w:r>
            <w:proofErr w:type="spellStart"/>
            <w:r w:rsidRPr="0085122B">
              <w:rPr>
                <w:rFonts w:cstheme="minorHAnsi"/>
                <w:bCs/>
                <w:lang w:eastAsia="en-GB"/>
              </w:rPr>
              <w:t>dw</w:t>
            </w:r>
            <w:proofErr w:type="spellEnd"/>
            <w:r w:rsidRPr="0085122B">
              <w:rPr>
                <w:rFonts w:cstheme="minorHAnsi"/>
                <w:bCs/>
                <w:lang w:eastAsia="en-GB"/>
              </w:rPr>
              <w:t>)</w:t>
            </w:r>
          </w:p>
        </w:tc>
        <w:tc>
          <w:tcPr>
            <w:tcW w:w="2835" w:type="dxa"/>
            <w:tcBorders>
              <w:top w:val="single" w:sz="4" w:space="0" w:color="auto"/>
              <w:left w:val="single" w:sz="4" w:space="0" w:color="auto"/>
              <w:bottom w:val="single" w:sz="4" w:space="0" w:color="auto"/>
              <w:right w:val="single" w:sz="4" w:space="0" w:color="auto"/>
            </w:tcBorders>
            <w:hideMark/>
          </w:tcPr>
          <w:p w14:paraId="47454719" w14:textId="77777777" w:rsidR="00BF151E" w:rsidRPr="0085122B" w:rsidRDefault="00BF151E">
            <w:r w:rsidRPr="0085122B">
              <w:rPr>
                <w:rFonts w:cstheme="minorHAnsi"/>
                <w:bCs/>
                <w:lang w:eastAsia="en-GB"/>
              </w:rPr>
              <w:t>12 terrestrial plants, 10 invertebrates and 13 microbial endpoints</w:t>
            </w:r>
          </w:p>
        </w:tc>
        <w:tc>
          <w:tcPr>
            <w:tcW w:w="3067" w:type="dxa"/>
            <w:tcBorders>
              <w:top w:val="single" w:sz="4" w:space="0" w:color="auto"/>
              <w:left w:val="single" w:sz="4" w:space="0" w:color="auto"/>
              <w:bottom w:val="single" w:sz="4" w:space="0" w:color="auto"/>
              <w:right w:val="single" w:sz="4" w:space="0" w:color="auto"/>
            </w:tcBorders>
            <w:hideMark/>
          </w:tcPr>
          <w:p w14:paraId="47C56D23" w14:textId="77777777" w:rsidR="00BF151E" w:rsidRPr="0085122B" w:rsidRDefault="00BF151E">
            <w:pPr>
              <w:rPr>
                <w:rFonts w:cstheme="minorHAnsi"/>
                <w:bCs/>
                <w:lang w:eastAsia="en-GB"/>
              </w:rPr>
            </w:pPr>
            <w:r w:rsidRPr="0085122B">
              <w:rPr>
                <w:rFonts w:cstheme="minorHAnsi"/>
                <w:bCs/>
                <w:lang w:eastAsia="en-GB"/>
              </w:rPr>
              <w:t>Species Sensitivity Distribution</w:t>
            </w:r>
          </w:p>
        </w:tc>
      </w:tr>
    </w:tbl>
    <w:p w14:paraId="0F7E1DBA" w14:textId="77777777" w:rsidR="00BF151E" w:rsidRPr="0085122B" w:rsidRDefault="00BF151E" w:rsidP="00BF151E">
      <w:pPr>
        <w:spacing w:line="276" w:lineRule="auto"/>
        <w:jc w:val="both"/>
        <w:rPr>
          <w:rFonts w:cstheme="minorHAnsi"/>
          <w:i/>
        </w:rPr>
      </w:pPr>
      <w:r w:rsidRPr="0085122B">
        <w:rPr>
          <w:rFonts w:cstheme="minorHAnsi"/>
          <w:i/>
        </w:rPr>
        <w:br/>
        <w:t>d) Toxicity to micro-organisms in STP</w:t>
      </w:r>
    </w:p>
    <w:tbl>
      <w:tblPr>
        <w:tblStyle w:val="Mkatabulky"/>
        <w:tblW w:w="9016" w:type="dxa"/>
        <w:jc w:val="center"/>
        <w:tblLook w:val="04A0" w:firstRow="1" w:lastRow="0" w:firstColumn="1" w:lastColumn="0" w:noHBand="0" w:noVBand="1"/>
      </w:tblPr>
      <w:tblGrid>
        <w:gridCol w:w="1026"/>
        <w:gridCol w:w="1237"/>
        <w:gridCol w:w="2694"/>
        <w:gridCol w:w="2126"/>
        <w:gridCol w:w="1933"/>
      </w:tblGrid>
      <w:tr w:rsidR="0085122B" w:rsidRPr="0085122B" w14:paraId="6481B766" w14:textId="77777777" w:rsidTr="00BF151E">
        <w:trPr>
          <w:jc w:val="center"/>
        </w:trPr>
        <w:tc>
          <w:tcPr>
            <w:tcW w:w="1026" w:type="dxa"/>
            <w:tcBorders>
              <w:top w:val="single" w:sz="4" w:space="0" w:color="auto"/>
              <w:left w:val="single" w:sz="4" w:space="0" w:color="auto"/>
              <w:bottom w:val="single" w:sz="4" w:space="0" w:color="auto"/>
              <w:right w:val="single" w:sz="4" w:space="0" w:color="auto"/>
            </w:tcBorders>
          </w:tcPr>
          <w:p w14:paraId="74471826" w14:textId="77777777" w:rsidR="00BF151E" w:rsidRPr="0085122B" w:rsidRDefault="00BF151E">
            <w:bookmarkStart w:id="2" w:name="_Hlk118817579"/>
          </w:p>
          <w:p w14:paraId="667650C1" w14:textId="77777777" w:rsidR="00BF151E" w:rsidRPr="0085122B" w:rsidRDefault="00BF151E">
            <w:r w:rsidRPr="0085122B">
              <w:t>Endpoint</w:t>
            </w:r>
          </w:p>
        </w:tc>
        <w:tc>
          <w:tcPr>
            <w:tcW w:w="1237" w:type="dxa"/>
            <w:tcBorders>
              <w:top w:val="single" w:sz="4" w:space="0" w:color="auto"/>
              <w:left w:val="single" w:sz="4" w:space="0" w:color="auto"/>
              <w:bottom w:val="single" w:sz="4" w:space="0" w:color="auto"/>
              <w:right w:val="single" w:sz="4" w:space="0" w:color="auto"/>
            </w:tcBorders>
          </w:tcPr>
          <w:p w14:paraId="6404EC21" w14:textId="77777777" w:rsidR="00BF151E" w:rsidRPr="0085122B" w:rsidRDefault="00BF151E">
            <w:pPr>
              <w:rPr>
                <w:rFonts w:cstheme="minorHAnsi"/>
                <w:bCs/>
                <w:lang w:eastAsia="en-GB"/>
              </w:rPr>
            </w:pPr>
          </w:p>
          <w:p w14:paraId="2BE39D09" w14:textId="77777777" w:rsidR="00BF151E" w:rsidRPr="0085122B" w:rsidRDefault="00BF151E">
            <w:r w:rsidRPr="0085122B">
              <w:rPr>
                <w:rFonts w:cstheme="minorHAnsi"/>
                <w:bCs/>
                <w:lang w:eastAsia="en-GB"/>
              </w:rPr>
              <w:t xml:space="preserve">Value </w:t>
            </w:r>
          </w:p>
        </w:tc>
        <w:tc>
          <w:tcPr>
            <w:tcW w:w="2694" w:type="dxa"/>
            <w:tcBorders>
              <w:top w:val="single" w:sz="4" w:space="0" w:color="auto"/>
              <w:left w:val="single" w:sz="4" w:space="0" w:color="auto"/>
              <w:bottom w:val="single" w:sz="4" w:space="0" w:color="auto"/>
              <w:right w:val="single" w:sz="4" w:space="0" w:color="auto"/>
            </w:tcBorders>
          </w:tcPr>
          <w:p w14:paraId="560C1D16" w14:textId="77777777" w:rsidR="00BF151E" w:rsidRPr="0085122B" w:rsidRDefault="00BF151E">
            <w:pPr>
              <w:rPr>
                <w:rFonts w:cstheme="minorHAnsi"/>
                <w:bCs/>
                <w:lang w:eastAsia="en-GB"/>
              </w:rPr>
            </w:pPr>
          </w:p>
          <w:p w14:paraId="29C4C563" w14:textId="77777777" w:rsidR="00BF151E" w:rsidRPr="0085122B" w:rsidRDefault="00BF151E">
            <w:pPr>
              <w:rPr>
                <w:rFonts w:cstheme="minorHAnsi"/>
                <w:bCs/>
                <w:lang w:eastAsia="en-GB"/>
              </w:rPr>
            </w:pPr>
            <w:r w:rsidRPr="0085122B">
              <w:rPr>
                <w:rFonts w:cstheme="minorHAnsi"/>
                <w:bCs/>
                <w:lang w:eastAsia="en-GB"/>
              </w:rPr>
              <w:t>Test method</w:t>
            </w:r>
          </w:p>
        </w:tc>
        <w:tc>
          <w:tcPr>
            <w:tcW w:w="2126" w:type="dxa"/>
            <w:tcBorders>
              <w:top w:val="single" w:sz="4" w:space="0" w:color="auto"/>
              <w:left w:val="single" w:sz="4" w:space="0" w:color="auto"/>
              <w:bottom w:val="single" w:sz="4" w:space="0" w:color="auto"/>
              <w:right w:val="single" w:sz="4" w:space="0" w:color="auto"/>
            </w:tcBorders>
          </w:tcPr>
          <w:p w14:paraId="7CD52C1F" w14:textId="77777777" w:rsidR="00BF151E" w:rsidRPr="0085122B" w:rsidRDefault="00BF151E">
            <w:pPr>
              <w:rPr>
                <w:rFonts w:cstheme="minorHAnsi"/>
                <w:bCs/>
                <w:lang w:eastAsia="en-GB"/>
              </w:rPr>
            </w:pPr>
          </w:p>
          <w:p w14:paraId="190A9434" w14:textId="77777777" w:rsidR="00BF151E" w:rsidRPr="0085122B" w:rsidRDefault="00BF151E">
            <w:r w:rsidRPr="0085122B">
              <w:rPr>
                <w:rFonts w:cstheme="minorHAnsi"/>
                <w:bCs/>
                <w:lang w:eastAsia="en-GB"/>
              </w:rPr>
              <w:t>Data source</w:t>
            </w:r>
          </w:p>
        </w:tc>
        <w:tc>
          <w:tcPr>
            <w:tcW w:w="1933" w:type="dxa"/>
            <w:tcBorders>
              <w:top w:val="single" w:sz="4" w:space="0" w:color="auto"/>
              <w:left w:val="single" w:sz="4" w:space="0" w:color="auto"/>
              <w:bottom w:val="single" w:sz="4" w:space="0" w:color="auto"/>
              <w:right w:val="single" w:sz="4" w:space="0" w:color="auto"/>
            </w:tcBorders>
            <w:hideMark/>
          </w:tcPr>
          <w:p w14:paraId="45E45AF1" w14:textId="77777777" w:rsidR="00BF151E" w:rsidRPr="0085122B" w:rsidRDefault="00BF151E">
            <w:pPr>
              <w:rPr>
                <w:rFonts w:cstheme="minorHAnsi"/>
                <w:bCs/>
                <w:lang w:eastAsia="en-GB"/>
              </w:rPr>
            </w:pPr>
            <w:r w:rsidRPr="0085122B">
              <w:rPr>
                <w:rFonts w:cstheme="minorHAnsi"/>
                <w:bCs/>
                <w:lang w:eastAsia="en-GB"/>
              </w:rPr>
              <w:t>PNEC extrapolation method</w:t>
            </w:r>
          </w:p>
        </w:tc>
      </w:tr>
      <w:tr w:rsidR="00BF151E" w:rsidRPr="0085122B" w14:paraId="264F1F1A" w14:textId="77777777" w:rsidTr="00BF151E">
        <w:trPr>
          <w:jc w:val="center"/>
        </w:trPr>
        <w:tc>
          <w:tcPr>
            <w:tcW w:w="1026" w:type="dxa"/>
            <w:tcBorders>
              <w:top w:val="single" w:sz="4" w:space="0" w:color="auto"/>
              <w:left w:val="single" w:sz="4" w:space="0" w:color="auto"/>
              <w:bottom w:val="single" w:sz="4" w:space="0" w:color="auto"/>
              <w:right w:val="single" w:sz="4" w:space="0" w:color="auto"/>
            </w:tcBorders>
            <w:hideMark/>
          </w:tcPr>
          <w:p w14:paraId="5F65BAD0" w14:textId="77777777" w:rsidR="00BF151E" w:rsidRPr="0085122B" w:rsidRDefault="00BF151E">
            <w:r w:rsidRPr="0085122B">
              <w:rPr>
                <w:rFonts w:cstheme="minorHAnsi"/>
                <w:bCs/>
                <w:lang w:eastAsia="en-GB"/>
              </w:rPr>
              <w:t>NOEC</w:t>
            </w:r>
          </w:p>
        </w:tc>
        <w:tc>
          <w:tcPr>
            <w:tcW w:w="1237" w:type="dxa"/>
            <w:tcBorders>
              <w:top w:val="single" w:sz="4" w:space="0" w:color="auto"/>
              <w:left w:val="single" w:sz="4" w:space="0" w:color="auto"/>
              <w:bottom w:val="single" w:sz="4" w:space="0" w:color="auto"/>
              <w:right w:val="single" w:sz="4" w:space="0" w:color="auto"/>
            </w:tcBorders>
            <w:hideMark/>
          </w:tcPr>
          <w:p w14:paraId="5CBCB9F1" w14:textId="77777777" w:rsidR="00BF151E" w:rsidRPr="0085122B" w:rsidRDefault="00BF151E">
            <w:r w:rsidRPr="0085122B">
              <w:rPr>
                <w:rFonts w:cstheme="minorHAnsi"/>
              </w:rPr>
              <w:t>100 µg Zn/l</w:t>
            </w:r>
          </w:p>
        </w:tc>
        <w:tc>
          <w:tcPr>
            <w:tcW w:w="2694" w:type="dxa"/>
            <w:tcBorders>
              <w:top w:val="single" w:sz="4" w:space="0" w:color="auto"/>
              <w:left w:val="single" w:sz="4" w:space="0" w:color="auto"/>
              <w:bottom w:val="single" w:sz="4" w:space="0" w:color="auto"/>
              <w:right w:val="single" w:sz="4" w:space="0" w:color="auto"/>
            </w:tcBorders>
            <w:hideMark/>
          </w:tcPr>
          <w:p w14:paraId="4F364078" w14:textId="77777777" w:rsidR="00BF151E" w:rsidRPr="0085122B" w:rsidRDefault="00BF151E">
            <w:pPr>
              <w:rPr>
                <w:rFonts w:cstheme="minorHAnsi"/>
              </w:rPr>
            </w:pPr>
            <w:r w:rsidRPr="0085122B">
              <w:rPr>
                <w:rFonts w:cstheme="minorHAnsi"/>
              </w:rPr>
              <w:t>Nitrification inhibition test</w:t>
            </w:r>
          </w:p>
        </w:tc>
        <w:tc>
          <w:tcPr>
            <w:tcW w:w="2126" w:type="dxa"/>
            <w:tcBorders>
              <w:top w:val="single" w:sz="4" w:space="0" w:color="auto"/>
              <w:left w:val="single" w:sz="4" w:space="0" w:color="auto"/>
              <w:bottom w:val="single" w:sz="4" w:space="0" w:color="auto"/>
              <w:right w:val="single" w:sz="4" w:space="0" w:color="auto"/>
            </w:tcBorders>
            <w:hideMark/>
          </w:tcPr>
          <w:p w14:paraId="6F542757" w14:textId="77777777" w:rsidR="00BF151E" w:rsidRPr="0085122B" w:rsidRDefault="00BF151E">
            <w:proofErr w:type="spellStart"/>
            <w:r w:rsidRPr="0085122B">
              <w:rPr>
                <w:rFonts w:cstheme="minorHAnsi"/>
              </w:rPr>
              <w:t>Juliastuti</w:t>
            </w:r>
            <w:proofErr w:type="spellEnd"/>
            <w:r w:rsidRPr="0085122B">
              <w:rPr>
                <w:rFonts w:cstheme="minorHAnsi"/>
              </w:rPr>
              <w:t xml:space="preserve"> et al. 2003</w:t>
            </w:r>
          </w:p>
        </w:tc>
        <w:tc>
          <w:tcPr>
            <w:tcW w:w="1933" w:type="dxa"/>
            <w:tcBorders>
              <w:top w:val="single" w:sz="4" w:space="0" w:color="auto"/>
              <w:left w:val="single" w:sz="4" w:space="0" w:color="auto"/>
              <w:bottom w:val="single" w:sz="4" w:space="0" w:color="auto"/>
              <w:right w:val="single" w:sz="4" w:space="0" w:color="auto"/>
            </w:tcBorders>
            <w:hideMark/>
          </w:tcPr>
          <w:p w14:paraId="0A761617" w14:textId="77777777" w:rsidR="00BF151E" w:rsidRPr="0085122B" w:rsidRDefault="00BF151E">
            <w:pPr>
              <w:rPr>
                <w:rFonts w:cstheme="minorHAnsi"/>
              </w:rPr>
            </w:pPr>
            <w:r w:rsidRPr="0085122B">
              <w:rPr>
                <w:rFonts w:cstheme="minorHAnsi"/>
              </w:rPr>
              <w:t>Assessment factor</w:t>
            </w:r>
          </w:p>
          <w:p w14:paraId="6F3A2FF8" w14:textId="77777777" w:rsidR="00BF151E" w:rsidRPr="0085122B" w:rsidRDefault="00BF151E">
            <w:pPr>
              <w:rPr>
                <w:rFonts w:cstheme="minorHAnsi"/>
              </w:rPr>
            </w:pPr>
            <w:r w:rsidRPr="0085122B">
              <w:rPr>
                <w:rFonts w:cstheme="minorHAnsi"/>
              </w:rPr>
              <w:t>AF = 1</w:t>
            </w:r>
          </w:p>
        </w:tc>
      </w:tr>
      <w:bookmarkEnd w:id="2"/>
    </w:tbl>
    <w:p w14:paraId="4468F266" w14:textId="77777777" w:rsidR="00BF151E" w:rsidRPr="0085122B" w:rsidRDefault="00BF151E" w:rsidP="00BF151E">
      <w:pPr>
        <w:spacing w:line="276" w:lineRule="auto"/>
        <w:rPr>
          <w:rFonts w:cstheme="minorHAnsi"/>
          <w:b/>
          <w:highlight w:val="yellow"/>
          <w:u w:val="single"/>
        </w:rPr>
      </w:pPr>
    </w:p>
    <w:p w14:paraId="0928179D" w14:textId="77777777" w:rsidR="00BF151E" w:rsidRPr="0085122B" w:rsidRDefault="00BF151E" w:rsidP="00BF151E">
      <w:pPr>
        <w:spacing w:line="276" w:lineRule="auto"/>
        <w:rPr>
          <w:rFonts w:cstheme="minorHAnsi"/>
          <w:u w:val="single"/>
        </w:rPr>
      </w:pPr>
      <w:r w:rsidRPr="0085122B">
        <w:rPr>
          <w:rFonts w:cstheme="minorHAnsi"/>
          <w:u w:val="single"/>
        </w:rPr>
        <w:t>12.2. Persistence and biodegradability</w:t>
      </w:r>
    </w:p>
    <w:p w14:paraId="02683113" w14:textId="61377093" w:rsidR="00BF151E" w:rsidRPr="0085122B" w:rsidRDefault="00BF151E" w:rsidP="00605094">
      <w:pPr>
        <w:spacing w:before="200" w:line="276" w:lineRule="auto"/>
        <w:rPr>
          <w:rFonts w:cstheme="minorHAnsi"/>
        </w:rPr>
      </w:pPr>
      <w:r w:rsidRPr="0085122B">
        <w:rPr>
          <w:rFonts w:cstheme="minorHAnsi"/>
        </w:rPr>
        <w:t>Biodegradation is not applicable to metals/inorganic substances. An analysis on the removal of zinc from the water column has been presented as a surrogate for persistence.</w:t>
      </w:r>
    </w:p>
    <w:p w14:paraId="722F466B" w14:textId="77777777" w:rsidR="00BF151E" w:rsidRPr="0085122B" w:rsidRDefault="00BF151E" w:rsidP="00BF151E">
      <w:pPr>
        <w:spacing w:line="276" w:lineRule="auto"/>
        <w:rPr>
          <w:rFonts w:cstheme="minorHAnsi"/>
          <w:u w:val="single"/>
        </w:rPr>
      </w:pPr>
      <w:r w:rsidRPr="0085122B">
        <w:rPr>
          <w:rFonts w:cstheme="minorHAnsi"/>
          <w:u w:val="single"/>
        </w:rPr>
        <w:t xml:space="preserve">12.3. </w:t>
      </w:r>
      <w:proofErr w:type="spellStart"/>
      <w:r w:rsidRPr="0085122B">
        <w:rPr>
          <w:rFonts w:cstheme="minorHAnsi"/>
          <w:u w:val="single"/>
        </w:rPr>
        <w:t>Bioaccumulative</w:t>
      </w:r>
      <w:proofErr w:type="spellEnd"/>
      <w:r w:rsidRPr="0085122B">
        <w:rPr>
          <w:rFonts w:cstheme="minorHAnsi"/>
          <w:u w:val="single"/>
        </w:rPr>
        <w:t xml:space="preserve"> potential</w:t>
      </w:r>
    </w:p>
    <w:p w14:paraId="1AAD70A2" w14:textId="77777777" w:rsidR="00BF151E" w:rsidRPr="0085122B" w:rsidRDefault="00BF151E" w:rsidP="00BF151E">
      <w:pPr>
        <w:spacing w:before="200" w:line="276" w:lineRule="auto"/>
        <w:rPr>
          <w:rFonts w:cstheme="minorHAnsi"/>
        </w:rPr>
      </w:pPr>
      <w:r w:rsidRPr="0085122B">
        <w:rPr>
          <w:rFonts w:cstheme="minorHAnsi"/>
        </w:rPr>
        <w:t xml:space="preserve">Due to homeostatic control mechanisms, bioaccumulation is not relevant to essential elements in general and to zinc in particular. </w:t>
      </w:r>
    </w:p>
    <w:p w14:paraId="0AC6C7B4" w14:textId="77777777" w:rsidR="00BF151E" w:rsidRPr="0085122B" w:rsidRDefault="00BF151E" w:rsidP="00BF151E">
      <w:pPr>
        <w:spacing w:line="276" w:lineRule="auto"/>
        <w:rPr>
          <w:rFonts w:cstheme="minorHAnsi"/>
          <w:u w:val="single"/>
        </w:rPr>
      </w:pPr>
      <w:r w:rsidRPr="0085122B">
        <w:rPr>
          <w:rFonts w:cstheme="minorHAnsi"/>
          <w:u w:val="single"/>
        </w:rPr>
        <w:t>12.4. Mobility in soils</w:t>
      </w:r>
    </w:p>
    <w:tbl>
      <w:tblPr>
        <w:tblStyle w:val="Mkatabulky"/>
        <w:tblW w:w="5000" w:type="pct"/>
        <w:tblLook w:val="04A0" w:firstRow="1" w:lastRow="0" w:firstColumn="1" w:lastColumn="0" w:noHBand="0" w:noVBand="1"/>
      </w:tblPr>
      <w:tblGrid>
        <w:gridCol w:w="1676"/>
        <w:gridCol w:w="2020"/>
        <w:gridCol w:w="1531"/>
        <w:gridCol w:w="2337"/>
        <w:gridCol w:w="1452"/>
      </w:tblGrid>
      <w:tr w:rsidR="0085122B" w:rsidRPr="0085122B" w14:paraId="09082700" w14:textId="77777777" w:rsidTr="00BF151E">
        <w:trPr>
          <w:trHeight w:val="394"/>
        </w:trPr>
        <w:tc>
          <w:tcPr>
            <w:tcW w:w="930" w:type="pct"/>
            <w:tcBorders>
              <w:top w:val="single" w:sz="4" w:space="0" w:color="auto"/>
              <w:left w:val="single" w:sz="4" w:space="0" w:color="auto"/>
              <w:bottom w:val="single" w:sz="4" w:space="0" w:color="auto"/>
              <w:right w:val="single" w:sz="4" w:space="0" w:color="auto"/>
            </w:tcBorders>
            <w:hideMark/>
          </w:tcPr>
          <w:p w14:paraId="06E7F77F" w14:textId="77777777" w:rsidR="00BF151E" w:rsidRPr="0085122B" w:rsidRDefault="00BF151E">
            <w:r w:rsidRPr="0085122B">
              <w:t>Distribution</w:t>
            </w:r>
          </w:p>
        </w:tc>
        <w:tc>
          <w:tcPr>
            <w:tcW w:w="1120" w:type="pct"/>
            <w:tcBorders>
              <w:top w:val="single" w:sz="4" w:space="0" w:color="auto"/>
              <w:left w:val="single" w:sz="4" w:space="0" w:color="auto"/>
              <w:bottom w:val="single" w:sz="4" w:space="0" w:color="auto"/>
              <w:right w:val="single" w:sz="4" w:space="0" w:color="auto"/>
            </w:tcBorders>
            <w:hideMark/>
          </w:tcPr>
          <w:p w14:paraId="0C0E71F8" w14:textId="77777777" w:rsidR="00BF151E" w:rsidRPr="0085122B" w:rsidRDefault="00BF151E">
            <w:r w:rsidRPr="0085122B">
              <w:t>Transport type</w:t>
            </w:r>
          </w:p>
        </w:tc>
        <w:tc>
          <w:tcPr>
            <w:tcW w:w="849" w:type="pct"/>
            <w:tcBorders>
              <w:top w:val="single" w:sz="4" w:space="0" w:color="auto"/>
              <w:left w:val="single" w:sz="4" w:space="0" w:color="auto"/>
              <w:bottom w:val="single" w:sz="4" w:space="0" w:color="auto"/>
              <w:right w:val="single" w:sz="4" w:space="0" w:color="auto"/>
            </w:tcBorders>
            <w:hideMark/>
          </w:tcPr>
          <w:p w14:paraId="2136FEBA" w14:textId="77777777" w:rsidR="00BF151E" w:rsidRPr="0085122B" w:rsidRDefault="00BF151E">
            <w:r w:rsidRPr="0085122B">
              <w:t>parameter</w:t>
            </w:r>
          </w:p>
        </w:tc>
        <w:tc>
          <w:tcPr>
            <w:tcW w:w="1296" w:type="pct"/>
            <w:tcBorders>
              <w:top w:val="single" w:sz="4" w:space="0" w:color="auto"/>
              <w:left w:val="single" w:sz="4" w:space="0" w:color="auto"/>
              <w:bottom w:val="single" w:sz="4" w:space="0" w:color="auto"/>
              <w:right w:val="single" w:sz="4" w:space="0" w:color="auto"/>
            </w:tcBorders>
            <w:hideMark/>
          </w:tcPr>
          <w:p w14:paraId="55D6F1EC" w14:textId="77777777" w:rsidR="00BF151E" w:rsidRPr="0085122B" w:rsidRDefault="00BF151E">
            <w:r w:rsidRPr="0085122B">
              <w:t>Result</w:t>
            </w:r>
          </w:p>
        </w:tc>
        <w:tc>
          <w:tcPr>
            <w:tcW w:w="806" w:type="pct"/>
            <w:tcBorders>
              <w:top w:val="single" w:sz="4" w:space="0" w:color="auto"/>
              <w:left w:val="single" w:sz="4" w:space="0" w:color="auto"/>
              <w:bottom w:val="single" w:sz="4" w:space="0" w:color="auto"/>
              <w:right w:val="single" w:sz="4" w:space="0" w:color="auto"/>
            </w:tcBorders>
            <w:hideMark/>
          </w:tcPr>
          <w:p w14:paraId="320BC819" w14:textId="77777777" w:rsidR="00BF151E" w:rsidRPr="0085122B" w:rsidRDefault="00BF151E">
            <w:r w:rsidRPr="0085122B">
              <w:t>Method</w:t>
            </w:r>
          </w:p>
        </w:tc>
      </w:tr>
      <w:tr w:rsidR="0085122B" w:rsidRPr="0085122B" w14:paraId="32F169DA" w14:textId="77777777" w:rsidTr="00BF151E">
        <w:trPr>
          <w:trHeight w:val="414"/>
        </w:trPr>
        <w:tc>
          <w:tcPr>
            <w:tcW w:w="930" w:type="pct"/>
            <w:tcBorders>
              <w:top w:val="single" w:sz="4" w:space="0" w:color="auto"/>
              <w:left w:val="single" w:sz="4" w:space="0" w:color="auto"/>
              <w:bottom w:val="single" w:sz="4" w:space="0" w:color="auto"/>
              <w:right w:val="single" w:sz="4" w:space="0" w:color="auto"/>
            </w:tcBorders>
            <w:hideMark/>
          </w:tcPr>
          <w:p w14:paraId="18CCDC28" w14:textId="77777777" w:rsidR="00BF151E" w:rsidRPr="0085122B" w:rsidRDefault="00BF151E">
            <w:r w:rsidRPr="0085122B">
              <w:t>Soil - water</w:t>
            </w:r>
          </w:p>
        </w:tc>
        <w:tc>
          <w:tcPr>
            <w:tcW w:w="1120" w:type="pct"/>
            <w:tcBorders>
              <w:top w:val="single" w:sz="4" w:space="0" w:color="auto"/>
              <w:left w:val="single" w:sz="4" w:space="0" w:color="auto"/>
              <w:bottom w:val="single" w:sz="4" w:space="0" w:color="auto"/>
              <w:right w:val="single" w:sz="4" w:space="0" w:color="auto"/>
            </w:tcBorders>
            <w:hideMark/>
          </w:tcPr>
          <w:p w14:paraId="0626A401" w14:textId="77777777" w:rsidR="00BF151E" w:rsidRPr="0085122B" w:rsidRDefault="00BF151E">
            <w:r w:rsidRPr="0085122B">
              <w:t>Adsorption</w:t>
            </w:r>
          </w:p>
        </w:tc>
        <w:tc>
          <w:tcPr>
            <w:tcW w:w="849" w:type="pct"/>
            <w:tcBorders>
              <w:top w:val="single" w:sz="4" w:space="0" w:color="auto"/>
              <w:left w:val="single" w:sz="4" w:space="0" w:color="auto"/>
              <w:bottom w:val="single" w:sz="4" w:space="0" w:color="auto"/>
              <w:right w:val="single" w:sz="4" w:space="0" w:color="auto"/>
            </w:tcBorders>
            <w:hideMark/>
          </w:tcPr>
          <w:p w14:paraId="136E7A0E" w14:textId="77777777" w:rsidR="00BF151E" w:rsidRPr="0085122B" w:rsidRDefault="00BF151E">
            <w:r w:rsidRPr="0085122B">
              <w:t xml:space="preserve">Log </w:t>
            </w:r>
            <w:proofErr w:type="spellStart"/>
            <w:r w:rsidRPr="0085122B">
              <w:t>Kp</w:t>
            </w:r>
            <w:proofErr w:type="spellEnd"/>
          </w:p>
        </w:tc>
        <w:tc>
          <w:tcPr>
            <w:tcW w:w="1296" w:type="pct"/>
            <w:tcBorders>
              <w:top w:val="single" w:sz="4" w:space="0" w:color="auto"/>
              <w:left w:val="single" w:sz="4" w:space="0" w:color="auto"/>
              <w:bottom w:val="single" w:sz="4" w:space="0" w:color="auto"/>
              <w:right w:val="single" w:sz="4" w:space="0" w:color="auto"/>
            </w:tcBorders>
            <w:hideMark/>
          </w:tcPr>
          <w:p w14:paraId="104D2DB3" w14:textId="77777777" w:rsidR="00BF151E" w:rsidRPr="0085122B" w:rsidRDefault="00BF151E">
            <w:r w:rsidRPr="0085122B">
              <w:t>3.24 (0.30 – 4.31)</w:t>
            </w:r>
          </w:p>
        </w:tc>
        <w:tc>
          <w:tcPr>
            <w:tcW w:w="806" w:type="pct"/>
            <w:tcBorders>
              <w:top w:val="single" w:sz="4" w:space="0" w:color="auto"/>
              <w:left w:val="single" w:sz="4" w:space="0" w:color="auto"/>
              <w:bottom w:val="single" w:sz="4" w:space="0" w:color="auto"/>
              <w:right w:val="single" w:sz="4" w:space="0" w:color="auto"/>
            </w:tcBorders>
            <w:hideMark/>
          </w:tcPr>
          <w:p w14:paraId="7BDEF1DB" w14:textId="77777777" w:rsidR="00BF151E" w:rsidRPr="0085122B" w:rsidRDefault="00BF151E">
            <w:r w:rsidRPr="0085122B">
              <w:t>OECD 106</w:t>
            </w:r>
          </w:p>
        </w:tc>
      </w:tr>
    </w:tbl>
    <w:p w14:paraId="72769D72" w14:textId="77777777" w:rsidR="00BF151E" w:rsidRPr="0085122B" w:rsidRDefault="00BF151E" w:rsidP="00BF151E">
      <w:pPr>
        <w:spacing w:line="276" w:lineRule="auto"/>
        <w:rPr>
          <w:rFonts w:cstheme="minorHAnsi"/>
          <w:u w:val="single"/>
        </w:rPr>
      </w:pPr>
      <w:r w:rsidRPr="0085122B">
        <w:rPr>
          <w:rFonts w:cstheme="minorHAnsi"/>
          <w:u w:val="single"/>
        </w:rPr>
        <w:br/>
        <w:t xml:space="preserve">12.5. Results of PBT and </w:t>
      </w:r>
      <w:proofErr w:type="spellStart"/>
      <w:r w:rsidRPr="0085122B">
        <w:rPr>
          <w:rFonts w:cstheme="minorHAnsi"/>
          <w:u w:val="single"/>
        </w:rPr>
        <w:t>vPvB</w:t>
      </w:r>
      <w:proofErr w:type="spellEnd"/>
      <w:r w:rsidRPr="0085122B">
        <w:rPr>
          <w:rFonts w:cstheme="minorHAnsi"/>
          <w:u w:val="single"/>
        </w:rPr>
        <w:t xml:space="preserve"> assessment</w:t>
      </w:r>
    </w:p>
    <w:p w14:paraId="4B8302AB" w14:textId="77777777" w:rsidR="00BF151E" w:rsidRPr="0085122B" w:rsidRDefault="00BF151E" w:rsidP="00BF151E">
      <w:pPr>
        <w:spacing w:before="200" w:line="276" w:lineRule="auto"/>
        <w:rPr>
          <w:rFonts w:cstheme="minorHAnsi"/>
        </w:rPr>
      </w:pPr>
      <w:r w:rsidRPr="0085122B">
        <w:rPr>
          <w:rFonts w:cstheme="minorHAnsi"/>
        </w:rPr>
        <w:t xml:space="preserve">PBT and </w:t>
      </w:r>
      <w:proofErr w:type="spellStart"/>
      <w:r w:rsidRPr="0085122B">
        <w:rPr>
          <w:rFonts w:cstheme="minorHAnsi"/>
        </w:rPr>
        <w:t>vPvB</w:t>
      </w:r>
      <w:proofErr w:type="spellEnd"/>
      <w:r w:rsidRPr="0085122B">
        <w:rPr>
          <w:rFonts w:cstheme="minorHAnsi"/>
        </w:rPr>
        <w:t xml:space="preserve"> criteria are not applicable to inorganic substances.</w:t>
      </w:r>
    </w:p>
    <w:p w14:paraId="2EB1B374" w14:textId="77777777" w:rsidR="00BF151E" w:rsidRPr="0085122B" w:rsidRDefault="00BF151E" w:rsidP="00BF151E">
      <w:pPr>
        <w:spacing w:line="276" w:lineRule="auto"/>
        <w:rPr>
          <w:rFonts w:cstheme="minorHAnsi"/>
          <w:u w:val="single"/>
        </w:rPr>
      </w:pPr>
      <w:r w:rsidRPr="0085122B">
        <w:rPr>
          <w:rFonts w:cstheme="minorHAnsi"/>
          <w:u w:val="single"/>
        </w:rPr>
        <w:t>12.6. Endocrine disruptive properties</w:t>
      </w:r>
    </w:p>
    <w:p w14:paraId="480A6849" w14:textId="039AF090" w:rsidR="00BF151E" w:rsidRPr="0085122B" w:rsidRDefault="002C1B18" w:rsidP="002C1B18">
      <w:pPr>
        <w:spacing w:line="276" w:lineRule="auto"/>
        <w:rPr>
          <w:rFonts w:cstheme="minorHAnsi"/>
        </w:rPr>
      </w:pPr>
      <w:r w:rsidRPr="0085122B">
        <w:t>Substance is not classified as an endocrine disruptor.</w:t>
      </w:r>
      <w:r w:rsidR="0085122B" w:rsidRPr="0085122B">
        <w:t xml:space="preserve"> Zinc is essential and has no known endocrine disruption properties.</w:t>
      </w:r>
    </w:p>
    <w:sectPr w:rsidR="00BF151E" w:rsidRPr="0085122B" w:rsidSect="00CF1F6E">
      <w:headerReference w:type="default" r:id="rId9"/>
      <w:pgSz w:w="11906" w:h="16838"/>
      <w:pgMar w:top="185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89080" w14:textId="77777777" w:rsidR="00540084" w:rsidRDefault="00540084" w:rsidP="00CF1F6E">
      <w:pPr>
        <w:spacing w:after="0" w:line="240" w:lineRule="auto"/>
      </w:pPr>
      <w:r>
        <w:separator/>
      </w:r>
    </w:p>
  </w:endnote>
  <w:endnote w:type="continuationSeparator" w:id="0">
    <w:p w14:paraId="0E18FFC5" w14:textId="77777777" w:rsidR="00540084" w:rsidRDefault="00540084" w:rsidP="00CF1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12F81" w14:textId="77777777" w:rsidR="00540084" w:rsidRDefault="00540084" w:rsidP="00CF1F6E">
      <w:pPr>
        <w:spacing w:after="0" w:line="240" w:lineRule="auto"/>
      </w:pPr>
      <w:r>
        <w:separator/>
      </w:r>
    </w:p>
  </w:footnote>
  <w:footnote w:type="continuationSeparator" w:id="0">
    <w:p w14:paraId="14ADC656" w14:textId="77777777" w:rsidR="00540084" w:rsidRDefault="00540084" w:rsidP="00CF1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FF32" w14:textId="511D6B3E" w:rsidR="00CF1F6E" w:rsidRDefault="00CF1F6E" w:rsidP="00CF1F6E">
    <w:pPr>
      <w:pStyle w:val="Zhlav"/>
      <w:tabs>
        <w:tab w:val="clear" w:pos="4513"/>
      </w:tabs>
      <w:jc w:val="center"/>
    </w:pPr>
    <w:r>
      <w:rPr>
        <w:noProof/>
        <w:lang w:val="fr-BE" w:eastAsia="fr-BE"/>
      </w:rPr>
      <w:drawing>
        <wp:anchor distT="0" distB="0" distL="114300" distR="114300" simplePos="0" relativeHeight="251659264" behindDoc="0" locked="1" layoutInCell="1" allowOverlap="0" wp14:anchorId="54C5DE0F" wp14:editId="2AE048E2">
          <wp:simplePos x="0" y="0"/>
          <wp:positionH relativeFrom="column">
            <wp:posOffset>1400175</wp:posOffset>
          </wp:positionH>
          <wp:positionV relativeFrom="page">
            <wp:posOffset>142875</wp:posOffset>
          </wp:positionV>
          <wp:extent cx="2163600" cy="66600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cstate="print"/>
                  <a:srcRect/>
                  <a:stretch>
                    <a:fillRect/>
                  </a:stretch>
                </pic:blipFill>
                <pic:spPr bwMode="auto">
                  <a:xfrm>
                    <a:off x="0" y="0"/>
                    <a:ext cx="2163600" cy="66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3395A44" w14:textId="77777777" w:rsidR="00CF1F6E" w:rsidRDefault="00CF1F6E">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1EA"/>
    <w:rsid w:val="0001270E"/>
    <w:rsid w:val="000A6E4E"/>
    <w:rsid w:val="00114DE4"/>
    <w:rsid w:val="0013574B"/>
    <w:rsid w:val="00137B86"/>
    <w:rsid w:val="001919DD"/>
    <w:rsid w:val="001C2B2D"/>
    <w:rsid w:val="001E7877"/>
    <w:rsid w:val="00223B62"/>
    <w:rsid w:val="002871EA"/>
    <w:rsid w:val="002C1B18"/>
    <w:rsid w:val="003C37C3"/>
    <w:rsid w:val="003E5480"/>
    <w:rsid w:val="00407432"/>
    <w:rsid w:val="004907AB"/>
    <w:rsid w:val="004D758A"/>
    <w:rsid w:val="005015E9"/>
    <w:rsid w:val="00514D52"/>
    <w:rsid w:val="0051660B"/>
    <w:rsid w:val="00540084"/>
    <w:rsid w:val="00571700"/>
    <w:rsid w:val="005D1CD4"/>
    <w:rsid w:val="00605094"/>
    <w:rsid w:val="006157C1"/>
    <w:rsid w:val="00654D6F"/>
    <w:rsid w:val="006701C8"/>
    <w:rsid w:val="006B0C7F"/>
    <w:rsid w:val="006D43AC"/>
    <w:rsid w:val="006E2A8B"/>
    <w:rsid w:val="007453CC"/>
    <w:rsid w:val="007F3086"/>
    <w:rsid w:val="0080380A"/>
    <w:rsid w:val="00837769"/>
    <w:rsid w:val="0085122B"/>
    <w:rsid w:val="008C7ADA"/>
    <w:rsid w:val="00921976"/>
    <w:rsid w:val="00945245"/>
    <w:rsid w:val="00984C0B"/>
    <w:rsid w:val="009936F8"/>
    <w:rsid w:val="00AA7921"/>
    <w:rsid w:val="00B3748C"/>
    <w:rsid w:val="00BA779E"/>
    <w:rsid w:val="00BF151E"/>
    <w:rsid w:val="00C47024"/>
    <w:rsid w:val="00CA793D"/>
    <w:rsid w:val="00CF1F6E"/>
    <w:rsid w:val="00D379F4"/>
    <w:rsid w:val="00D77E02"/>
    <w:rsid w:val="00DB4D73"/>
    <w:rsid w:val="00E706EA"/>
    <w:rsid w:val="00EC1DF6"/>
    <w:rsid w:val="00EC201F"/>
    <w:rsid w:val="00EF2DBC"/>
    <w:rsid w:val="00F16C02"/>
    <w:rsid w:val="00F35C72"/>
    <w:rsid w:val="00F62931"/>
    <w:rsid w:val="00F72FD8"/>
    <w:rsid w:val="00F86771"/>
    <w:rsid w:val="00FC1625"/>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3866A"/>
  <w15:chartTrackingRefBased/>
  <w15:docId w15:val="{E9F35E75-7415-4565-BB45-71B69365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evize">
    <w:name w:val="Revision"/>
    <w:hidden/>
    <w:uiPriority w:val="99"/>
    <w:semiHidden/>
    <w:rsid w:val="00D379F4"/>
    <w:pPr>
      <w:spacing w:after="0" w:line="240" w:lineRule="auto"/>
    </w:pPr>
  </w:style>
  <w:style w:type="paragraph" w:styleId="Normlnweb">
    <w:name w:val="Normal (Web)"/>
    <w:basedOn w:val="Normln"/>
    <w:uiPriority w:val="99"/>
    <w:semiHidden/>
    <w:unhideWhenUsed/>
    <w:rsid w:val="00945245"/>
    <w:pPr>
      <w:spacing w:before="100" w:beforeAutospacing="1" w:after="100" w:afterAutospacing="1" w:line="240" w:lineRule="auto"/>
    </w:pPr>
    <w:rPr>
      <w:rFonts w:ascii="Times New Roman" w:eastAsia="Times New Roman" w:hAnsi="Times New Roman" w:cs="Times New Roman"/>
      <w:sz w:val="24"/>
      <w:szCs w:val="24"/>
      <w:lang/>
    </w:rPr>
  </w:style>
  <w:style w:type="character" w:styleId="Odkaznakoment">
    <w:name w:val="annotation reference"/>
    <w:basedOn w:val="Standardnpsmoodstavce"/>
    <w:uiPriority w:val="99"/>
    <w:semiHidden/>
    <w:unhideWhenUsed/>
    <w:rsid w:val="006B0C7F"/>
    <w:rPr>
      <w:sz w:val="16"/>
      <w:szCs w:val="16"/>
    </w:rPr>
  </w:style>
  <w:style w:type="paragraph" w:styleId="Textkomente">
    <w:name w:val="annotation text"/>
    <w:basedOn w:val="Normln"/>
    <w:link w:val="TextkomenteChar"/>
    <w:uiPriority w:val="99"/>
    <w:unhideWhenUsed/>
    <w:rsid w:val="006B0C7F"/>
    <w:pPr>
      <w:spacing w:line="240" w:lineRule="auto"/>
    </w:pPr>
    <w:rPr>
      <w:sz w:val="20"/>
      <w:szCs w:val="20"/>
    </w:rPr>
  </w:style>
  <w:style w:type="character" w:customStyle="1" w:styleId="TextkomenteChar">
    <w:name w:val="Text komentáře Char"/>
    <w:basedOn w:val="Standardnpsmoodstavce"/>
    <w:link w:val="Textkomente"/>
    <w:uiPriority w:val="99"/>
    <w:rsid w:val="006B0C7F"/>
    <w:rPr>
      <w:sz w:val="20"/>
      <w:szCs w:val="20"/>
    </w:rPr>
  </w:style>
  <w:style w:type="paragraph" w:styleId="Pedmtkomente">
    <w:name w:val="annotation subject"/>
    <w:basedOn w:val="Textkomente"/>
    <w:next w:val="Textkomente"/>
    <w:link w:val="PedmtkomenteChar"/>
    <w:uiPriority w:val="99"/>
    <w:semiHidden/>
    <w:unhideWhenUsed/>
    <w:rsid w:val="006B0C7F"/>
    <w:rPr>
      <w:b/>
      <w:bCs/>
    </w:rPr>
  </w:style>
  <w:style w:type="character" w:customStyle="1" w:styleId="PedmtkomenteChar">
    <w:name w:val="Předmět komentáře Char"/>
    <w:basedOn w:val="TextkomenteChar"/>
    <w:link w:val="Pedmtkomente"/>
    <w:uiPriority w:val="99"/>
    <w:semiHidden/>
    <w:rsid w:val="006B0C7F"/>
    <w:rPr>
      <w:b/>
      <w:bCs/>
      <w:sz w:val="20"/>
      <w:szCs w:val="20"/>
    </w:rPr>
  </w:style>
  <w:style w:type="table" w:styleId="Mkatabulky">
    <w:name w:val="Table Grid"/>
    <w:basedOn w:val="Normlntabulka"/>
    <w:uiPriority w:val="39"/>
    <w:rsid w:val="006E2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F1F6E"/>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CF1F6E"/>
  </w:style>
  <w:style w:type="paragraph" w:styleId="Zpat">
    <w:name w:val="footer"/>
    <w:basedOn w:val="Normln"/>
    <w:link w:val="ZpatChar"/>
    <w:uiPriority w:val="99"/>
    <w:unhideWhenUsed/>
    <w:rsid w:val="00CF1F6E"/>
    <w:pPr>
      <w:tabs>
        <w:tab w:val="center" w:pos="4513"/>
        <w:tab w:val="right" w:pos="9026"/>
      </w:tabs>
      <w:spacing w:after="0" w:line="240" w:lineRule="auto"/>
    </w:pPr>
  </w:style>
  <w:style w:type="character" w:customStyle="1" w:styleId="ZpatChar">
    <w:name w:val="Zápatí Char"/>
    <w:basedOn w:val="Standardnpsmoodstavce"/>
    <w:link w:val="Zpat"/>
    <w:uiPriority w:val="99"/>
    <w:rsid w:val="00CF1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45040">
      <w:bodyDiv w:val="1"/>
      <w:marLeft w:val="0"/>
      <w:marRight w:val="0"/>
      <w:marTop w:val="0"/>
      <w:marBottom w:val="0"/>
      <w:divBdr>
        <w:top w:val="none" w:sz="0" w:space="0" w:color="auto"/>
        <w:left w:val="none" w:sz="0" w:space="0" w:color="auto"/>
        <w:bottom w:val="none" w:sz="0" w:space="0" w:color="auto"/>
        <w:right w:val="none" w:sz="0" w:space="0" w:color="auto"/>
      </w:divBdr>
    </w:div>
    <w:div w:id="135495192">
      <w:bodyDiv w:val="1"/>
      <w:marLeft w:val="0"/>
      <w:marRight w:val="0"/>
      <w:marTop w:val="0"/>
      <w:marBottom w:val="0"/>
      <w:divBdr>
        <w:top w:val="none" w:sz="0" w:space="0" w:color="auto"/>
        <w:left w:val="none" w:sz="0" w:space="0" w:color="auto"/>
        <w:bottom w:val="none" w:sz="0" w:space="0" w:color="auto"/>
        <w:right w:val="none" w:sz="0" w:space="0" w:color="auto"/>
      </w:divBdr>
    </w:div>
    <w:div w:id="167445054">
      <w:bodyDiv w:val="1"/>
      <w:marLeft w:val="0"/>
      <w:marRight w:val="0"/>
      <w:marTop w:val="0"/>
      <w:marBottom w:val="0"/>
      <w:divBdr>
        <w:top w:val="none" w:sz="0" w:space="0" w:color="auto"/>
        <w:left w:val="none" w:sz="0" w:space="0" w:color="auto"/>
        <w:bottom w:val="none" w:sz="0" w:space="0" w:color="auto"/>
        <w:right w:val="none" w:sz="0" w:space="0" w:color="auto"/>
      </w:divBdr>
    </w:div>
    <w:div w:id="241522811">
      <w:bodyDiv w:val="1"/>
      <w:marLeft w:val="0"/>
      <w:marRight w:val="0"/>
      <w:marTop w:val="0"/>
      <w:marBottom w:val="0"/>
      <w:divBdr>
        <w:top w:val="none" w:sz="0" w:space="0" w:color="auto"/>
        <w:left w:val="none" w:sz="0" w:space="0" w:color="auto"/>
        <w:bottom w:val="none" w:sz="0" w:space="0" w:color="auto"/>
        <w:right w:val="none" w:sz="0" w:space="0" w:color="auto"/>
      </w:divBdr>
    </w:div>
    <w:div w:id="263002360">
      <w:bodyDiv w:val="1"/>
      <w:marLeft w:val="0"/>
      <w:marRight w:val="0"/>
      <w:marTop w:val="0"/>
      <w:marBottom w:val="0"/>
      <w:divBdr>
        <w:top w:val="none" w:sz="0" w:space="0" w:color="auto"/>
        <w:left w:val="none" w:sz="0" w:space="0" w:color="auto"/>
        <w:bottom w:val="none" w:sz="0" w:space="0" w:color="auto"/>
        <w:right w:val="none" w:sz="0" w:space="0" w:color="auto"/>
      </w:divBdr>
    </w:div>
    <w:div w:id="342127541">
      <w:bodyDiv w:val="1"/>
      <w:marLeft w:val="0"/>
      <w:marRight w:val="0"/>
      <w:marTop w:val="0"/>
      <w:marBottom w:val="0"/>
      <w:divBdr>
        <w:top w:val="none" w:sz="0" w:space="0" w:color="auto"/>
        <w:left w:val="none" w:sz="0" w:space="0" w:color="auto"/>
        <w:bottom w:val="none" w:sz="0" w:space="0" w:color="auto"/>
        <w:right w:val="none" w:sz="0" w:space="0" w:color="auto"/>
      </w:divBdr>
    </w:div>
    <w:div w:id="682242225">
      <w:bodyDiv w:val="1"/>
      <w:marLeft w:val="0"/>
      <w:marRight w:val="0"/>
      <w:marTop w:val="0"/>
      <w:marBottom w:val="0"/>
      <w:divBdr>
        <w:top w:val="none" w:sz="0" w:space="0" w:color="auto"/>
        <w:left w:val="none" w:sz="0" w:space="0" w:color="auto"/>
        <w:bottom w:val="none" w:sz="0" w:space="0" w:color="auto"/>
        <w:right w:val="none" w:sz="0" w:space="0" w:color="auto"/>
      </w:divBdr>
    </w:div>
    <w:div w:id="1105996200">
      <w:bodyDiv w:val="1"/>
      <w:marLeft w:val="0"/>
      <w:marRight w:val="0"/>
      <w:marTop w:val="0"/>
      <w:marBottom w:val="0"/>
      <w:divBdr>
        <w:top w:val="none" w:sz="0" w:space="0" w:color="auto"/>
        <w:left w:val="none" w:sz="0" w:space="0" w:color="auto"/>
        <w:bottom w:val="none" w:sz="0" w:space="0" w:color="auto"/>
        <w:right w:val="none" w:sz="0" w:space="0" w:color="auto"/>
      </w:divBdr>
    </w:div>
    <w:div w:id="1252352001">
      <w:bodyDiv w:val="1"/>
      <w:marLeft w:val="0"/>
      <w:marRight w:val="0"/>
      <w:marTop w:val="0"/>
      <w:marBottom w:val="0"/>
      <w:divBdr>
        <w:top w:val="none" w:sz="0" w:space="0" w:color="auto"/>
        <w:left w:val="none" w:sz="0" w:space="0" w:color="auto"/>
        <w:bottom w:val="none" w:sz="0" w:space="0" w:color="auto"/>
        <w:right w:val="none" w:sz="0" w:space="0" w:color="auto"/>
      </w:divBdr>
    </w:div>
    <w:div w:id="1383601721">
      <w:bodyDiv w:val="1"/>
      <w:marLeft w:val="0"/>
      <w:marRight w:val="0"/>
      <w:marTop w:val="0"/>
      <w:marBottom w:val="0"/>
      <w:divBdr>
        <w:top w:val="none" w:sz="0" w:space="0" w:color="auto"/>
        <w:left w:val="none" w:sz="0" w:space="0" w:color="auto"/>
        <w:bottom w:val="none" w:sz="0" w:space="0" w:color="auto"/>
        <w:right w:val="none" w:sz="0" w:space="0" w:color="auto"/>
      </w:divBdr>
    </w:div>
    <w:div w:id="1594779825">
      <w:bodyDiv w:val="1"/>
      <w:marLeft w:val="0"/>
      <w:marRight w:val="0"/>
      <w:marTop w:val="0"/>
      <w:marBottom w:val="0"/>
      <w:divBdr>
        <w:top w:val="none" w:sz="0" w:space="0" w:color="auto"/>
        <w:left w:val="none" w:sz="0" w:space="0" w:color="auto"/>
        <w:bottom w:val="none" w:sz="0" w:space="0" w:color="auto"/>
        <w:right w:val="none" w:sz="0" w:space="0" w:color="auto"/>
      </w:divBdr>
    </w:div>
    <w:div w:id="1768651503">
      <w:bodyDiv w:val="1"/>
      <w:marLeft w:val="0"/>
      <w:marRight w:val="0"/>
      <w:marTop w:val="0"/>
      <w:marBottom w:val="0"/>
      <w:divBdr>
        <w:top w:val="none" w:sz="0" w:space="0" w:color="auto"/>
        <w:left w:val="none" w:sz="0" w:space="0" w:color="auto"/>
        <w:bottom w:val="none" w:sz="0" w:space="0" w:color="auto"/>
        <w:right w:val="none" w:sz="0" w:space="0" w:color="auto"/>
      </w:divBdr>
    </w:div>
    <w:div w:id="198758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39A1B99C7356439BE55F750EB71E92" ma:contentTypeVersion="6" ma:contentTypeDescription="Create a new document." ma:contentTypeScope="" ma:versionID="f9c46c8a1bfa95dc44134e9848c0d600">
  <xsd:schema xmlns:xsd="http://www.w3.org/2001/XMLSchema" xmlns:xs="http://www.w3.org/2001/XMLSchema" xmlns:p="http://schemas.microsoft.com/office/2006/metadata/properties" xmlns:ns2="95ad96b4-10f3-4213-ad0f-965057ee2b75" xmlns:ns3="fde0554a-53a8-4581-a414-6cbcb5de8504" targetNamespace="http://schemas.microsoft.com/office/2006/metadata/properties" ma:root="true" ma:fieldsID="3ec67033e34f024a61f81af3f87dbabc" ns2:_="" ns3:_="">
    <xsd:import namespace="95ad96b4-10f3-4213-ad0f-965057ee2b75"/>
    <xsd:import namespace="fde0554a-53a8-4581-a414-6cbcb5de85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d96b4-10f3-4213-ad0f-965057ee2b7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e0554a-53a8-4581-a414-6cbcb5de850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C55953-2CA6-4559-AAC7-F72990868344}">
  <ds:schemaRefs>
    <ds:schemaRef ds:uri="http://schemas.openxmlformats.org/officeDocument/2006/bibliography"/>
  </ds:schemaRefs>
</ds:datastoreItem>
</file>

<file path=customXml/itemProps2.xml><?xml version="1.0" encoding="utf-8"?>
<ds:datastoreItem xmlns:ds="http://schemas.openxmlformats.org/officeDocument/2006/customXml" ds:itemID="{3A4D0526-1771-4BD5-9F9E-62D11AA05B77}">
  <ds:schemaRefs>
    <ds:schemaRef ds:uri="http://schemas.microsoft.com/sharepoint/v3/contenttype/forms"/>
  </ds:schemaRefs>
</ds:datastoreItem>
</file>

<file path=customXml/itemProps3.xml><?xml version="1.0" encoding="utf-8"?>
<ds:datastoreItem xmlns:ds="http://schemas.openxmlformats.org/officeDocument/2006/customXml" ds:itemID="{C5437DBD-C4D1-4A98-B126-0ADCE3458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d96b4-10f3-4213-ad0f-965057ee2b75"/>
    <ds:schemaRef ds:uri="fde0554a-53a8-4581-a414-6cbcb5de8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1033</Words>
  <Characters>6100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Spirlet</dc:creator>
  <cp:keywords/>
  <dc:description/>
  <cp:lastModifiedBy>Petr Ševčík</cp:lastModifiedBy>
  <cp:revision>2</cp:revision>
  <dcterms:created xsi:type="dcterms:W3CDTF">2023-07-13T12:24:00Z</dcterms:created>
  <dcterms:modified xsi:type="dcterms:W3CDTF">2023-07-13T12:24:00Z</dcterms:modified>
</cp:coreProperties>
</file>